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96E17">
      <w:pPr>
        <w:keepNext w:val="0"/>
        <w:keepLines w:val="0"/>
        <w:pageBreakBefore w:val="0"/>
        <w:kinsoku/>
        <w:wordWrap/>
        <w:overflowPunct/>
        <w:topLinePunct w:val="0"/>
        <w:autoSpaceDE/>
        <w:bidi w:val="0"/>
        <w:adjustRightInd/>
        <w:snapToGrid/>
        <w:spacing w:line="600" w:lineRule="exact"/>
        <w:jc w:val="center"/>
        <w:rPr>
          <w:rFonts w:hint="eastAsia" w:ascii="方正小标宋简体" w:hAnsi="方正小标宋简体" w:eastAsia="方正小标宋简体" w:cs="方正小标宋简体"/>
          <w:b w:val="0"/>
          <w:bCs w:val="0"/>
          <w:color w:val="auto"/>
          <w:sz w:val="44"/>
          <w:szCs w:val="44"/>
          <w:highlight w:val="none"/>
          <w:lang w:val="en" w:eastAsia="zh-CN"/>
        </w:rPr>
      </w:pPr>
      <w:r>
        <w:rPr>
          <w:rFonts w:hint="eastAsia" w:ascii="方正小标宋简体" w:hAnsi="方正小标宋简体" w:eastAsia="方正小标宋简体" w:cs="方正小标宋简体"/>
          <w:sz w:val="44"/>
          <w:szCs w:val="44"/>
        </w:rPr>
        <w:t>滑县202</w:t>
      </w:r>
      <w:r>
        <w:rPr>
          <w:rFonts w:hint="eastAsia" w:ascii="方正小标宋简体" w:hAnsi="方正小标宋简体" w:eastAsia="方正小标宋简体" w:cs="方正小标宋简体"/>
          <w:sz w:val="44"/>
          <w:szCs w:val="44"/>
          <w:lang w:val="en-US" w:eastAsia="zh-CN"/>
        </w:rPr>
        <w:t>6年</w:t>
      </w:r>
      <w:r>
        <w:rPr>
          <w:rFonts w:hint="eastAsia" w:ascii="方正小标宋简体" w:hAnsi="方正小标宋简体" w:eastAsia="方正小标宋简体" w:cs="方正小标宋简体"/>
          <w:b w:val="0"/>
          <w:bCs w:val="0"/>
          <w:color w:val="auto"/>
          <w:sz w:val="44"/>
          <w:szCs w:val="44"/>
          <w:highlight w:val="none"/>
          <w:lang w:val="en-US" w:eastAsia="zh-CN"/>
        </w:rPr>
        <w:t>花生</w:t>
      </w:r>
      <w:r>
        <w:rPr>
          <w:rFonts w:hint="eastAsia" w:ascii="方正小标宋简体" w:hAnsi="方正小标宋简体" w:eastAsia="方正小标宋简体" w:cs="方正小标宋简体"/>
          <w:b w:val="0"/>
          <w:bCs w:val="0"/>
          <w:color w:val="auto"/>
          <w:sz w:val="44"/>
          <w:szCs w:val="44"/>
          <w:highlight w:val="none"/>
          <w:lang w:val="en" w:eastAsia="zh-CN"/>
        </w:rPr>
        <w:t>规模种植主体单产提升项目</w:t>
      </w:r>
    </w:p>
    <w:p w14:paraId="6438796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补贴清册</w:t>
      </w:r>
      <w:r>
        <w:rPr>
          <w:rFonts w:hint="eastAsia" w:ascii="方正小标宋简体" w:hAnsi="方正小标宋简体" w:eastAsia="方正小标宋简体" w:cs="方正小标宋简体"/>
          <w:sz w:val="44"/>
          <w:szCs w:val="44"/>
        </w:rPr>
        <w:t>公示</w:t>
      </w:r>
    </w:p>
    <w:p w14:paraId="346C3FB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44"/>
          <w:szCs w:val="44"/>
        </w:rPr>
      </w:pPr>
    </w:p>
    <w:p w14:paraId="0FC8F3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根据工作安排和文件要求，今年我县秋季按照程序组织实施了滑县2026年花生规模种植主体单产提升项目，现将有关事项予以公示:</w:t>
      </w:r>
    </w:p>
    <w:p w14:paraId="70D737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国标黑体" w:hAnsi="国标黑体" w:eastAsia="国标黑体" w:cs="国标黑体"/>
          <w:b w:val="0"/>
          <w:bCs w:val="0"/>
          <w:sz w:val="32"/>
          <w:szCs w:val="32"/>
          <w:lang w:eastAsia="zh-CN"/>
        </w:rPr>
        <w:t>一、</w:t>
      </w:r>
      <w:r>
        <w:rPr>
          <w:rFonts w:hint="eastAsia" w:ascii="国标黑体" w:hAnsi="国标黑体" w:eastAsia="国标黑体" w:cs="国标黑体"/>
          <w:b w:val="0"/>
          <w:bCs w:val="0"/>
          <w:sz w:val="32"/>
          <w:szCs w:val="32"/>
        </w:rPr>
        <w:t>政策依据</w:t>
      </w:r>
      <w:r>
        <w:rPr>
          <w:rFonts w:hint="eastAsia" w:ascii="国标黑体" w:hAnsi="国标黑体" w:eastAsia="国标黑体" w:cs="国标黑体"/>
          <w:b w:val="0"/>
          <w:bCs w:val="0"/>
          <w:sz w:val="32"/>
          <w:szCs w:val="32"/>
          <w:lang w:eastAsia="zh-CN"/>
        </w:rPr>
        <w:t>。</w:t>
      </w:r>
      <w:r>
        <w:rPr>
          <w:rFonts w:hint="eastAsia" w:ascii="仿宋" w:hAnsi="仿宋" w:eastAsia="仿宋" w:cs="仿宋"/>
          <w:sz w:val="32"/>
          <w:szCs w:val="32"/>
          <w:lang w:val="en-US" w:eastAsia="zh-CN"/>
        </w:rPr>
        <w:t>根据豫财农水【2026】43号文件和河南省农业农村厅关于印发《2026年粮油规模种植主体单产提升项目实施方案》和</w:t>
      </w:r>
      <w:r>
        <w:rPr>
          <w:rFonts w:hint="eastAsia" w:ascii="Times New Roman" w:hAnsi="Times New Roman" w:eastAsia="仿宋_GB2312" w:cs="仿宋_GB2312"/>
          <w:color w:val="auto"/>
          <w:sz w:val="32"/>
          <w:szCs w:val="32"/>
          <w:lang w:val="en-US" w:eastAsia="zh-CN"/>
        </w:rPr>
        <w:t>滑县农业农村局关于印发〈</w:t>
      </w:r>
      <w:r>
        <w:rPr>
          <w:rFonts w:hint="eastAsia" w:ascii="仿宋" w:hAnsi="仿宋" w:eastAsia="仿宋" w:cs="仿宋"/>
          <w:sz w:val="32"/>
          <w:szCs w:val="32"/>
          <w:lang w:val="en-US" w:eastAsia="zh-CN"/>
        </w:rPr>
        <w:t>滑县2026年花生规模种植主体单产提升项目</w:t>
      </w:r>
      <w:r>
        <w:rPr>
          <w:rFonts w:hint="eastAsia" w:ascii="Times New Roman" w:hAnsi="Times New Roman" w:eastAsia="仿宋_GB2312" w:cs="仿宋_GB2312"/>
          <w:color w:val="auto"/>
          <w:sz w:val="32"/>
          <w:szCs w:val="32"/>
          <w:lang w:val="en-US" w:eastAsia="zh-CN"/>
        </w:rPr>
        <w:t>〉的通知》（滑农〔2026〕34号）</w:t>
      </w:r>
      <w:r>
        <w:rPr>
          <w:rFonts w:hint="eastAsia" w:ascii="仿宋" w:hAnsi="仿宋" w:eastAsia="仿宋" w:cs="仿宋"/>
          <w:sz w:val="32"/>
          <w:szCs w:val="32"/>
          <w:lang w:val="en-US" w:eastAsia="zh-CN"/>
        </w:rPr>
        <w:t>等文件要求。</w:t>
      </w:r>
    </w:p>
    <w:p w14:paraId="2394194C">
      <w:pPr>
        <w:pStyle w:val="8"/>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left="0" w:leftChars="0" w:firstLine="640" w:firstLineChars="200"/>
        <w:jc w:val="both"/>
        <w:textAlignment w:val="auto"/>
        <w:rPr>
          <w:rFonts w:hint="eastAsia" w:ascii="Times New Roman" w:hAnsi="Times New Roman" w:eastAsia="仿宋_GB2312" w:cs="仿宋_GB2312"/>
          <w:sz w:val="32"/>
          <w:szCs w:val="32"/>
          <w:lang w:eastAsia="zh-CN"/>
        </w:rPr>
      </w:pPr>
      <w:r>
        <w:rPr>
          <w:rFonts w:hint="eastAsia" w:ascii="国标黑体" w:hAnsi="国标黑体" w:eastAsia="国标黑体" w:cs="国标黑体"/>
          <w:sz w:val="32"/>
          <w:szCs w:val="32"/>
          <w:lang w:val="en-US" w:eastAsia="zh-CN"/>
        </w:rPr>
        <w:t>二、</w:t>
      </w:r>
      <w:r>
        <w:rPr>
          <w:rFonts w:hint="eastAsia" w:ascii="国标黑体" w:hAnsi="国标黑体" w:eastAsia="国标黑体" w:cs="国标黑体"/>
          <w:sz w:val="32"/>
          <w:szCs w:val="32"/>
        </w:rPr>
        <w:t>技术路径</w:t>
      </w:r>
      <w:r>
        <w:rPr>
          <w:rFonts w:hint="eastAsia" w:ascii="国标黑体" w:hAnsi="国标黑体" w:eastAsia="国标黑体" w:cs="国标黑体"/>
          <w:sz w:val="32"/>
          <w:szCs w:val="32"/>
          <w:lang w:eastAsia="zh-CN"/>
        </w:rPr>
        <w:t>。</w:t>
      </w:r>
      <w:r>
        <w:rPr>
          <w:rFonts w:hint="eastAsia" w:ascii="Times New Roman" w:hAnsi="Times New Roman" w:eastAsia="仿宋_GB2312" w:cs="Times New Roman"/>
          <w:color w:val="auto"/>
          <w:sz w:val="32"/>
          <w:szCs w:val="32"/>
          <w:lang w:eastAsia="zh-CN"/>
        </w:rPr>
        <w:t>重点推广高油、高油酸等专用优质品种，集成推广</w:t>
      </w:r>
      <w:r>
        <w:rPr>
          <w:rFonts w:hint="eastAsia" w:ascii="Times New Roman" w:hAnsi="Times New Roman" w:eastAsia="仿宋_GB2312" w:cs="Times New Roman"/>
          <w:color w:val="auto"/>
          <w:kern w:val="2"/>
          <w:sz w:val="32"/>
          <w:szCs w:val="32"/>
        </w:rPr>
        <w:t>种子分级包衣拌种一体化</w:t>
      </w:r>
      <w:r>
        <w:rPr>
          <w:rFonts w:hint="eastAsia" w:ascii="Times New Roman" w:hAnsi="Times New Roman" w:eastAsia="仿宋_GB2312" w:cs="Times New Roman"/>
          <w:color w:val="auto"/>
          <w:kern w:val="2"/>
          <w:sz w:val="32"/>
          <w:szCs w:val="32"/>
          <w:lang w:eastAsia="zh-CN"/>
        </w:rPr>
        <w:t>、</w:t>
      </w:r>
      <w:r>
        <w:rPr>
          <w:rFonts w:hint="eastAsia" w:ascii="Times New Roman" w:hAnsi="Times New Roman" w:eastAsia="仿宋_GB2312" w:cs="Times New Roman"/>
          <w:color w:val="auto"/>
          <w:kern w:val="2"/>
          <w:sz w:val="32"/>
          <w:szCs w:val="32"/>
        </w:rPr>
        <w:t>宽幅高垄</w:t>
      </w:r>
      <w:r>
        <w:rPr>
          <w:rFonts w:hint="eastAsia" w:ascii="Times New Roman" w:hAnsi="Times New Roman" w:eastAsia="仿宋_GB2312" w:cs="Times New Roman"/>
          <w:color w:val="auto"/>
          <w:kern w:val="2"/>
          <w:sz w:val="32"/>
          <w:szCs w:val="32"/>
          <w:lang w:eastAsia="zh-CN"/>
        </w:rPr>
        <w:t>种植、水肥一体化管理、分</w:t>
      </w:r>
      <w:r>
        <w:rPr>
          <w:rFonts w:hint="eastAsia" w:ascii="Times New Roman" w:hAnsi="Times New Roman" w:eastAsia="仿宋_GB2312" w:cs="Times New Roman"/>
          <w:color w:val="auto"/>
          <w:kern w:val="2"/>
          <w:sz w:val="32"/>
          <w:szCs w:val="32"/>
        </w:rPr>
        <w:t>段式收获</w:t>
      </w:r>
      <w:r>
        <w:rPr>
          <w:rFonts w:hint="eastAsia" w:ascii="Times New Roman" w:hAnsi="Times New Roman" w:eastAsia="仿宋_GB2312" w:cs="Times New Roman"/>
          <w:color w:val="auto"/>
          <w:sz w:val="32"/>
          <w:szCs w:val="32"/>
          <w:lang w:eastAsia="zh-CN"/>
        </w:rPr>
        <w:t>等技术，突出抓好甜菜夜蛾、棉铃虫、蛴螬、青枯病、白绢病、茎腐病、叶斑病等病虫害防治</w:t>
      </w:r>
      <w:r>
        <w:rPr>
          <w:rFonts w:hint="eastAsia" w:ascii="Times New Roman" w:hAnsi="Times New Roman" w:eastAsia="仿宋_GB2312" w:cs="仿宋_GB2312"/>
          <w:sz w:val="32"/>
          <w:szCs w:val="32"/>
          <w:lang w:eastAsia="zh-CN"/>
        </w:rPr>
        <w:t>。</w:t>
      </w:r>
    </w:p>
    <w:p w14:paraId="0D25F3F1">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国标黑体" w:hAnsi="国标黑体" w:eastAsia="国标黑体" w:cs="国标黑体"/>
          <w:sz w:val="32"/>
          <w:szCs w:val="32"/>
          <w:lang w:eastAsia="zh-CN"/>
        </w:rPr>
        <w:t>三、</w:t>
      </w:r>
      <w:r>
        <w:rPr>
          <w:rFonts w:hint="eastAsia" w:ascii="国标黑体" w:hAnsi="国标黑体" w:eastAsia="国标黑体" w:cs="国标黑体"/>
          <w:sz w:val="32"/>
          <w:szCs w:val="32"/>
        </w:rPr>
        <w:t>补助对象。</w:t>
      </w:r>
      <w:r>
        <w:rPr>
          <w:rFonts w:hint="eastAsia" w:ascii="Times New Roman" w:hAnsi="Times New Roman" w:eastAsia="仿宋_GB2312" w:cs="Times New Roman"/>
          <w:color w:val="auto"/>
          <w:sz w:val="32"/>
          <w:szCs w:val="32"/>
          <w:lang w:val="en-US" w:eastAsia="zh-CN"/>
        </w:rPr>
        <w:t>项目</w:t>
      </w:r>
      <w:r>
        <w:rPr>
          <w:rFonts w:hint="default" w:ascii="Times New Roman" w:hAnsi="Times New Roman" w:eastAsia="仿宋_GB2312" w:cs="Times New Roman"/>
          <w:color w:val="auto"/>
          <w:sz w:val="32"/>
          <w:szCs w:val="32"/>
        </w:rPr>
        <w:t>补助对象为</w:t>
      </w:r>
      <w:r>
        <w:rPr>
          <w:rFonts w:hint="eastAsia" w:eastAsia="仿宋_GB2312" w:cs="Times New Roman"/>
          <w:color w:val="auto"/>
          <w:sz w:val="32"/>
          <w:szCs w:val="32"/>
          <w:highlight w:val="none"/>
          <w:lang w:val="en-US" w:eastAsia="zh-CN"/>
        </w:rPr>
        <w:t>2026年</w:t>
      </w:r>
      <w:r>
        <w:rPr>
          <w:rFonts w:hint="eastAsia" w:ascii="Times New Roman" w:hAnsi="Times New Roman" w:eastAsia="仿宋_GB2312" w:cs="Times New Roman"/>
          <w:color w:val="auto"/>
          <w:sz w:val="32"/>
          <w:szCs w:val="32"/>
          <w:highlight w:val="none"/>
          <w:lang w:val="en-US" w:eastAsia="zh-CN"/>
        </w:rPr>
        <w:t>种植花生面积不低于</w:t>
      </w:r>
      <w:r>
        <w:rPr>
          <w:rFonts w:hint="eastAsia" w:eastAsia="仿宋_GB2312" w:cs="Times New Roman"/>
          <w:color w:val="auto"/>
          <w:sz w:val="32"/>
          <w:szCs w:val="32"/>
          <w:highlight w:val="none"/>
          <w:lang w:val="en-US" w:eastAsia="zh-CN"/>
        </w:rPr>
        <w:t>5</w:t>
      </w:r>
      <w:r>
        <w:rPr>
          <w:rFonts w:hint="eastAsia" w:ascii="Times New Roman" w:hAnsi="Times New Roman" w:eastAsia="仿宋_GB2312" w:cs="Times New Roman"/>
          <w:color w:val="auto"/>
          <w:sz w:val="32"/>
          <w:szCs w:val="32"/>
          <w:highlight w:val="none"/>
          <w:lang w:val="en-US" w:eastAsia="zh-CN"/>
        </w:rPr>
        <w:t>0亩</w:t>
      </w:r>
      <w:r>
        <w:rPr>
          <w:rFonts w:hint="eastAsia"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亩均产量不低于33</w:t>
      </w:r>
      <w:r>
        <w:rPr>
          <w:rFonts w:hint="eastAsia" w:eastAsia="仿宋_GB2312" w:cs="Times New Roman"/>
          <w:color w:val="auto"/>
          <w:sz w:val="32"/>
          <w:szCs w:val="32"/>
          <w:highlight w:val="none"/>
          <w:lang w:val="en-US" w:eastAsia="zh-CN"/>
        </w:rPr>
        <w:t>0</w:t>
      </w:r>
      <w:r>
        <w:rPr>
          <w:rFonts w:hint="eastAsia" w:ascii="Times New Roman" w:hAnsi="Times New Roman" w:eastAsia="仿宋_GB2312" w:cs="Times New Roman"/>
          <w:color w:val="auto"/>
          <w:sz w:val="32"/>
          <w:szCs w:val="32"/>
          <w:highlight w:val="none"/>
          <w:lang w:val="en-US" w:eastAsia="zh-CN"/>
        </w:rPr>
        <w:t>.0公斤</w:t>
      </w:r>
      <w:r>
        <w:rPr>
          <w:rFonts w:hint="eastAsia" w:eastAsia="仿宋_GB2312" w:cs="Times New Roman"/>
          <w:color w:val="auto"/>
          <w:sz w:val="32"/>
          <w:szCs w:val="32"/>
          <w:highlight w:val="none"/>
          <w:lang w:val="en-US" w:eastAsia="zh-CN"/>
        </w:rPr>
        <w:t>，且当年新</w:t>
      </w:r>
      <w:r>
        <w:rPr>
          <w:rFonts w:hint="eastAsia" w:eastAsia="仿宋_GB2312" w:cs="Times New Roman"/>
          <w:color w:val="auto"/>
          <w:sz w:val="32"/>
          <w:szCs w:val="32"/>
          <w:lang w:eastAsia="zh-CN"/>
        </w:rPr>
        <w:t>购置并实际</w:t>
      </w:r>
      <w:r>
        <w:rPr>
          <w:rFonts w:hint="eastAsia" w:ascii="Times New Roman" w:hAnsi="Times New Roman" w:eastAsia="仿宋_GB2312" w:cs="Times New Roman"/>
          <w:color w:val="auto"/>
          <w:sz w:val="32"/>
          <w:szCs w:val="32"/>
          <w:highlight w:val="none"/>
          <w:lang w:val="en-US" w:eastAsia="zh-CN"/>
        </w:rPr>
        <w:t>使用花生</w:t>
      </w:r>
      <w:r>
        <w:rPr>
          <w:rFonts w:hint="eastAsia" w:ascii="Times New Roman" w:hAnsi="Times New Roman" w:eastAsia="仿宋_GB2312" w:cs="Times New Roman"/>
          <w:color w:val="auto"/>
          <w:kern w:val="2"/>
          <w:sz w:val="32"/>
          <w:szCs w:val="32"/>
          <w:lang w:eastAsia="zh-CN"/>
        </w:rPr>
        <w:t>水肥一体化</w:t>
      </w:r>
      <w:r>
        <w:rPr>
          <w:rFonts w:hint="eastAsia" w:eastAsia="仿宋_GB2312" w:cs="Times New Roman"/>
          <w:color w:val="auto"/>
          <w:kern w:val="2"/>
          <w:sz w:val="32"/>
          <w:szCs w:val="32"/>
          <w:lang w:val="en-US" w:eastAsia="zh-CN"/>
        </w:rPr>
        <w:t>设备</w:t>
      </w:r>
      <w:r>
        <w:rPr>
          <w:rFonts w:hint="default" w:ascii="Times New Roman" w:hAnsi="Times New Roman" w:eastAsia="仿宋_GB2312" w:cs="Times New Roman"/>
          <w:color w:val="auto"/>
          <w:sz w:val="32"/>
          <w:szCs w:val="32"/>
          <w:highlight w:val="none"/>
        </w:rPr>
        <w:t>的</w:t>
      </w:r>
      <w:r>
        <w:rPr>
          <w:rFonts w:hint="eastAsia" w:ascii="Times New Roman" w:hAnsi="Times New Roman" w:eastAsia="仿宋_GB2312" w:cs="Times New Roman"/>
          <w:color w:val="auto"/>
          <w:sz w:val="32"/>
          <w:szCs w:val="32"/>
          <w:highlight w:val="none"/>
          <w:lang w:eastAsia="zh-CN"/>
        </w:rPr>
        <w:t>种粮</w:t>
      </w:r>
      <w:r>
        <w:rPr>
          <w:rFonts w:hint="default" w:ascii="Times New Roman" w:hAnsi="Times New Roman" w:eastAsia="仿宋_GB2312" w:cs="Times New Roman"/>
          <w:color w:val="auto"/>
          <w:sz w:val="32"/>
          <w:szCs w:val="32"/>
          <w:highlight w:val="none"/>
        </w:rPr>
        <w:t>大户、家庭农场、农民合作社等新型农业经营主体</w:t>
      </w:r>
      <w:r>
        <w:rPr>
          <w:rFonts w:hint="default" w:ascii="Times New Roman" w:hAnsi="Times New Roman" w:eastAsia="仿宋_GB2312" w:cs="Times New Roman"/>
          <w:color w:val="auto"/>
          <w:sz w:val="32"/>
          <w:szCs w:val="32"/>
          <w:highlight w:val="none"/>
          <w:lang w:eastAsia="zh-CN"/>
        </w:rPr>
        <w:t>（不含</w:t>
      </w:r>
      <w:r>
        <w:rPr>
          <w:rFonts w:hint="default" w:ascii="Times New Roman" w:hAnsi="Times New Roman" w:eastAsia="仿宋_GB2312" w:cs="Times New Roman"/>
          <w:color w:val="auto"/>
          <w:sz w:val="32"/>
          <w:szCs w:val="32"/>
          <w:highlight w:val="none"/>
        </w:rPr>
        <w:t>为其他主体和农户开展环节托管的社会化服务面积</w:t>
      </w:r>
      <w:r>
        <w:rPr>
          <w:rFonts w:hint="default"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lang w:val="en-US" w:eastAsia="zh-CN"/>
        </w:rPr>
        <w:t>。</w:t>
      </w:r>
    </w:p>
    <w:p w14:paraId="49907CCB">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国标黑体" w:hAnsi="国标黑体" w:eastAsia="国标黑体" w:cs="国标黑体"/>
          <w:sz w:val="32"/>
          <w:szCs w:val="32"/>
          <w:lang w:eastAsia="zh-CN"/>
        </w:rPr>
        <w:t>四、</w:t>
      </w:r>
      <w:r>
        <w:rPr>
          <w:rFonts w:hint="eastAsia" w:ascii="国标黑体" w:hAnsi="国标黑体" w:eastAsia="国标黑体" w:cs="国标黑体"/>
          <w:sz w:val="32"/>
          <w:szCs w:val="32"/>
        </w:rPr>
        <w:t>补助标准。</w:t>
      </w:r>
      <w:r>
        <w:rPr>
          <w:rFonts w:hint="eastAsia" w:eastAsia="楷体_GB2312" w:cs="Times New Roman"/>
          <w:color w:val="auto"/>
          <w:sz w:val="32"/>
          <w:szCs w:val="32"/>
          <w:lang w:val="en-US" w:eastAsia="zh-CN"/>
        </w:rPr>
        <w:t>2026年</w:t>
      </w:r>
      <w:bookmarkStart w:id="0" w:name="OLE_LINK1"/>
      <w:r>
        <w:rPr>
          <w:rFonts w:hint="eastAsia" w:ascii="仿宋" w:hAnsi="仿宋" w:eastAsia="仿宋" w:cs="仿宋"/>
          <w:b w:val="0"/>
          <w:bCs w:val="0"/>
          <w:color w:val="auto"/>
          <w:sz w:val="32"/>
          <w:szCs w:val="32"/>
          <w:highlight w:val="none"/>
          <w:lang w:val="en-US" w:eastAsia="zh-CN"/>
        </w:rPr>
        <w:t>花生</w:t>
      </w:r>
      <w:r>
        <w:rPr>
          <w:rFonts w:hint="eastAsia" w:ascii="仿宋" w:hAnsi="仿宋" w:eastAsia="仿宋" w:cs="仿宋"/>
          <w:b w:val="0"/>
          <w:bCs w:val="0"/>
          <w:color w:val="auto"/>
          <w:sz w:val="32"/>
          <w:szCs w:val="32"/>
          <w:highlight w:val="none"/>
          <w:lang w:val="en"/>
        </w:rPr>
        <w:t>规模种植主体</w:t>
      </w:r>
      <w:bookmarkEnd w:id="0"/>
      <w:r>
        <w:rPr>
          <w:rFonts w:hint="eastAsia" w:ascii="仿宋" w:hAnsi="仿宋" w:eastAsia="仿宋" w:cs="仿宋"/>
          <w:b w:val="0"/>
          <w:bCs w:val="0"/>
          <w:color w:val="auto"/>
          <w:sz w:val="32"/>
          <w:szCs w:val="32"/>
          <w:highlight w:val="none"/>
          <w:lang w:val="en"/>
        </w:rPr>
        <w:t>单产提升项目</w:t>
      </w:r>
      <w:r>
        <w:rPr>
          <w:rFonts w:hint="eastAsia" w:ascii="仿宋" w:hAnsi="仿宋" w:eastAsia="仿宋" w:cs="仿宋"/>
          <w:b w:val="0"/>
          <w:bCs w:val="0"/>
          <w:color w:val="auto"/>
          <w:sz w:val="32"/>
          <w:szCs w:val="32"/>
          <w:highlight w:val="none"/>
          <w:lang w:val="en-US" w:eastAsia="zh-CN"/>
        </w:rPr>
        <w:t>上级</w:t>
      </w:r>
      <w:r>
        <w:rPr>
          <w:rFonts w:hint="default" w:ascii="Times New Roman" w:hAnsi="Times New Roman" w:eastAsia="仿宋_GB2312" w:cs="Times New Roman"/>
          <w:color w:val="auto"/>
          <w:sz w:val="32"/>
          <w:szCs w:val="32"/>
        </w:rPr>
        <w:t>下达资金总额</w:t>
      </w:r>
      <w:r>
        <w:rPr>
          <w:rFonts w:hint="eastAsia" w:eastAsia="仿宋_GB2312" w:cs="Times New Roman"/>
          <w:color w:val="auto"/>
          <w:sz w:val="32"/>
          <w:szCs w:val="32"/>
          <w:lang w:val="en-US" w:eastAsia="zh-CN"/>
        </w:rPr>
        <w:t>为447万元。对完全符合补助条件的</w:t>
      </w:r>
      <w:r>
        <w:rPr>
          <w:rFonts w:hint="eastAsia" w:ascii="Times New Roman" w:hAnsi="Times New Roman" w:eastAsia="仿宋_GB2312" w:cs="Times New Roman"/>
          <w:color w:val="auto"/>
          <w:sz w:val="32"/>
          <w:szCs w:val="32"/>
          <w:highlight w:val="none"/>
          <w:lang w:val="en-US" w:eastAsia="zh-CN"/>
        </w:rPr>
        <w:t>种植主体</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highlight w:val="none"/>
          <w:lang w:val="en-US" w:eastAsia="zh-CN"/>
        </w:rPr>
        <w:t>每亩补助</w:t>
      </w:r>
      <w:r>
        <w:rPr>
          <w:rFonts w:hint="eastAsia" w:eastAsia="仿宋_GB2312" w:cs="Times New Roman"/>
          <w:color w:val="auto"/>
          <w:sz w:val="32"/>
          <w:szCs w:val="32"/>
          <w:highlight w:val="none"/>
          <w:lang w:val="en-US" w:eastAsia="zh-CN"/>
        </w:rPr>
        <w:t>80.0</w:t>
      </w:r>
      <w:r>
        <w:rPr>
          <w:rFonts w:hint="eastAsia" w:ascii="Times New Roman" w:hAnsi="Times New Roman" w:eastAsia="仿宋_GB2312" w:cs="Times New Roman"/>
          <w:color w:val="auto"/>
          <w:sz w:val="32"/>
          <w:szCs w:val="32"/>
          <w:highlight w:val="none"/>
          <w:lang w:val="en-US" w:eastAsia="zh-CN"/>
        </w:rPr>
        <w:t>元</w:t>
      </w:r>
      <w:r>
        <w:rPr>
          <w:rFonts w:hint="eastAsia"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eastAsia="zh-CN"/>
        </w:rPr>
        <w:t>每</w:t>
      </w:r>
      <w:r>
        <w:rPr>
          <w:rFonts w:hint="default" w:ascii="Times New Roman" w:hAnsi="Times New Roman" w:eastAsia="仿宋_GB2312" w:cs="Times New Roman"/>
          <w:color w:val="auto"/>
          <w:sz w:val="32"/>
          <w:szCs w:val="32"/>
        </w:rPr>
        <w:t>个承担项目的经营主体补助资金不超过</w:t>
      </w:r>
      <w:r>
        <w:rPr>
          <w:rFonts w:hint="eastAsia" w:ascii="Times New Roman" w:hAnsi="Times New Roman" w:eastAsia="仿宋_GB2312" w:cs="Times New Roman"/>
          <w:color w:val="auto"/>
          <w:sz w:val="32"/>
          <w:szCs w:val="32"/>
          <w:lang w:val="en-US" w:eastAsia="zh-CN"/>
        </w:rPr>
        <w:t>30</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防止</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垒大户</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sz w:val="32"/>
          <w:szCs w:val="32"/>
        </w:rPr>
        <w:t>。</w:t>
      </w:r>
    </w:p>
    <w:p w14:paraId="2F176F4C">
      <w:pPr>
        <w:pStyle w:val="7"/>
        <w:keepNext w:val="0"/>
        <w:keepLines w:val="0"/>
        <w:pageBreakBefore w:val="0"/>
        <w:widowControl w:val="0"/>
        <w:pBdr>
          <w:top w:val="none" w:color="000000" w:sz="0" w:space="0"/>
          <w:left w:val="none" w:color="000000" w:sz="0" w:space="0"/>
          <w:bottom w:val="none" w:color="000000" w:sz="0" w:space="29"/>
          <w:right w:val="none" w:color="000000" w:sz="0" w:space="10"/>
        </w:pBdr>
        <w:kinsoku/>
        <w:wordWrap/>
        <w:overflowPunct/>
        <w:topLinePunct w:val="0"/>
        <w:autoSpaceDE/>
        <w:autoSpaceDN w:val="0"/>
        <w:bidi w:val="0"/>
        <w:adjustRightInd/>
        <w:snapToGrid/>
        <w:spacing w:line="560" w:lineRule="exact"/>
        <w:ind w:firstLine="640"/>
        <w:textAlignment w:val="auto"/>
        <w:rPr>
          <w:rFonts w:hint="eastAsia" w:ascii="Times New Roman" w:hAnsi="Times New Roman" w:eastAsia="仿宋_GB2312" w:cs="Times New Roman"/>
          <w:sz w:val="32"/>
          <w:szCs w:val="32"/>
          <w:lang w:eastAsia="zh-CN"/>
        </w:rPr>
      </w:pPr>
      <w:r>
        <w:rPr>
          <w:rFonts w:hint="eastAsia" w:ascii="国标黑体" w:hAnsi="国标黑体" w:eastAsia="国标黑体" w:cs="国标黑体"/>
          <w:sz w:val="32"/>
          <w:szCs w:val="32"/>
          <w:lang w:eastAsia="zh-CN"/>
        </w:rPr>
        <w:t>五、补助</w:t>
      </w:r>
      <w:r>
        <w:rPr>
          <w:rFonts w:hint="eastAsia" w:ascii="国标黑体" w:hAnsi="国标黑体" w:eastAsia="国标黑体" w:cs="国标黑体"/>
          <w:sz w:val="32"/>
          <w:szCs w:val="32"/>
        </w:rPr>
        <w:t>方式。</w:t>
      </w:r>
      <w:r>
        <w:rPr>
          <w:rFonts w:hint="default" w:ascii="Times New Roman" w:hAnsi="Times New Roman" w:eastAsia="仿宋_GB2312" w:cs="Times New Roman"/>
          <w:color w:val="auto"/>
          <w:sz w:val="32"/>
          <w:szCs w:val="32"/>
        </w:rPr>
        <w:t>补助</w:t>
      </w:r>
      <w:r>
        <w:rPr>
          <w:rFonts w:hint="eastAsia" w:ascii="Times New Roman" w:hAnsi="Times New Roman" w:eastAsia="仿宋_GB2312" w:cs="Times New Roman"/>
          <w:color w:val="auto"/>
          <w:sz w:val="32"/>
          <w:szCs w:val="32"/>
          <w:lang w:val="en-US" w:eastAsia="zh-CN"/>
        </w:rPr>
        <w:t>方式采用</w:t>
      </w:r>
      <w:r>
        <w:rPr>
          <w:rFonts w:hint="eastAsia" w:eastAsia="仿宋_GB2312" w:cs="Times New Roman"/>
          <w:color w:val="auto"/>
          <w:sz w:val="32"/>
          <w:szCs w:val="32"/>
          <w:lang w:eastAsia="zh-CN"/>
        </w:rPr>
        <w:t>一卡通现金直补</w:t>
      </w:r>
      <w:r>
        <w:rPr>
          <w:rFonts w:hint="eastAsia" w:eastAsia="仿宋_GB2312" w:cs="Times New Roman"/>
          <w:sz w:val="32"/>
          <w:szCs w:val="32"/>
          <w:lang w:eastAsia="zh-CN"/>
        </w:rPr>
        <w:t>。</w:t>
      </w:r>
    </w:p>
    <w:p w14:paraId="54252712">
      <w:pPr>
        <w:pStyle w:val="7"/>
        <w:keepNext w:val="0"/>
        <w:keepLines w:val="0"/>
        <w:pageBreakBefore w:val="0"/>
        <w:widowControl w:val="0"/>
        <w:pBdr>
          <w:top w:val="none" w:color="000000" w:sz="0" w:space="0"/>
          <w:left w:val="none" w:color="000000" w:sz="0" w:space="0"/>
          <w:bottom w:val="none" w:color="000000" w:sz="0" w:space="29"/>
          <w:right w:val="none" w:color="000000" w:sz="0" w:space="10"/>
        </w:pBdr>
        <w:kinsoku/>
        <w:wordWrap/>
        <w:overflowPunct/>
        <w:topLinePunct w:val="0"/>
        <w:autoSpaceDE/>
        <w:autoSpaceDN w:val="0"/>
        <w:bidi w:val="0"/>
        <w:adjustRightInd/>
        <w:snapToGrid/>
        <w:spacing w:line="560" w:lineRule="exact"/>
        <w:ind w:firstLine="640"/>
        <w:textAlignment w:val="auto"/>
        <w:rPr>
          <w:rFonts w:hint="eastAsia" w:ascii="Times New Roman" w:hAnsi="Times New Roman" w:eastAsia="仿宋_GB2312" w:cs="Times New Roman"/>
          <w:sz w:val="32"/>
          <w:szCs w:val="32"/>
          <w:lang w:eastAsia="zh-CN"/>
        </w:rPr>
      </w:pPr>
    </w:p>
    <w:p w14:paraId="197D0C5C">
      <w:pPr>
        <w:pStyle w:val="7"/>
        <w:keepNext w:val="0"/>
        <w:keepLines w:val="0"/>
        <w:pageBreakBefore w:val="0"/>
        <w:widowControl w:val="0"/>
        <w:pBdr>
          <w:top w:val="none" w:color="000000" w:sz="0" w:space="0"/>
          <w:left w:val="none" w:color="000000" w:sz="0" w:space="0"/>
          <w:bottom w:val="none" w:color="000000" w:sz="0" w:space="29"/>
          <w:right w:val="none" w:color="000000" w:sz="0" w:space="10"/>
        </w:pBdr>
        <w:kinsoku/>
        <w:wordWrap/>
        <w:overflowPunct/>
        <w:topLinePunct w:val="0"/>
        <w:autoSpaceDE/>
        <w:autoSpaceDN w:val="0"/>
        <w:bidi w:val="0"/>
        <w:adjustRightInd/>
        <w:snapToGrid/>
        <w:spacing w:line="560" w:lineRule="exact"/>
        <w:ind w:firstLine="640"/>
        <w:textAlignment w:val="auto"/>
        <w:rPr>
          <w:rFonts w:hint="eastAsia" w:ascii="仿宋" w:hAnsi="仿宋" w:eastAsia="仿宋" w:cs="仿宋"/>
          <w:sz w:val="32"/>
          <w:szCs w:val="32"/>
        </w:rPr>
      </w:pPr>
      <w:r>
        <w:rPr>
          <w:rFonts w:hint="eastAsia" w:ascii="仿宋" w:hAnsi="仿宋" w:eastAsia="仿宋" w:cs="仿宋"/>
          <w:sz w:val="32"/>
          <w:szCs w:val="32"/>
        </w:rPr>
        <w:t>公示时间:202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21</w:t>
      </w:r>
      <w:r>
        <w:rPr>
          <w:rFonts w:hint="eastAsia" w:ascii="仿宋" w:hAnsi="仿宋" w:eastAsia="仿宋" w:cs="仿宋"/>
          <w:sz w:val="32"/>
          <w:szCs w:val="32"/>
        </w:rPr>
        <w:t>日-</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27</w:t>
      </w:r>
      <w:r>
        <w:rPr>
          <w:rFonts w:hint="eastAsia" w:ascii="仿宋" w:hAnsi="仿宋" w:eastAsia="仿宋" w:cs="仿宋"/>
          <w:sz w:val="32"/>
          <w:szCs w:val="32"/>
        </w:rPr>
        <w:t>日</w:t>
      </w:r>
    </w:p>
    <w:p w14:paraId="1D31F36B">
      <w:pPr>
        <w:pStyle w:val="7"/>
        <w:keepNext w:val="0"/>
        <w:keepLines w:val="0"/>
        <w:pageBreakBefore w:val="0"/>
        <w:widowControl w:val="0"/>
        <w:pBdr>
          <w:top w:val="none" w:color="000000" w:sz="0" w:space="0"/>
          <w:left w:val="none" w:color="000000" w:sz="0" w:space="0"/>
          <w:bottom w:val="none" w:color="000000" w:sz="0" w:space="29"/>
          <w:right w:val="none" w:color="000000" w:sz="0" w:space="10"/>
        </w:pBdr>
        <w:kinsoku/>
        <w:wordWrap/>
        <w:overflowPunct/>
        <w:topLinePunct w:val="0"/>
        <w:autoSpaceDE/>
        <w:autoSpaceDN w:val="0"/>
        <w:bidi w:val="0"/>
        <w:adjustRightInd/>
        <w:snapToGrid/>
        <w:spacing w:line="560" w:lineRule="exact"/>
        <w:ind w:firstLine="64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咨询电话:81</w:t>
      </w:r>
      <w:r>
        <w:rPr>
          <w:rFonts w:hint="eastAsia" w:ascii="仿宋" w:hAnsi="仿宋" w:eastAsia="仿宋" w:cs="仿宋"/>
          <w:sz w:val="32"/>
          <w:szCs w:val="32"/>
          <w:lang w:val="en-US" w:eastAsia="zh-CN"/>
        </w:rPr>
        <w:t>11161</w:t>
      </w:r>
    </w:p>
    <w:p w14:paraId="368EAE07">
      <w:pPr>
        <w:pStyle w:val="7"/>
        <w:keepNext w:val="0"/>
        <w:keepLines w:val="0"/>
        <w:pageBreakBefore w:val="0"/>
        <w:widowControl w:val="0"/>
        <w:pBdr>
          <w:top w:val="none" w:color="000000" w:sz="0" w:space="0"/>
          <w:left w:val="none" w:color="000000" w:sz="0" w:space="0"/>
          <w:bottom w:val="none" w:color="000000" w:sz="0" w:space="29"/>
          <w:right w:val="none" w:color="000000" w:sz="0" w:space="10"/>
        </w:pBdr>
        <w:kinsoku/>
        <w:wordWrap/>
        <w:overflowPunct/>
        <w:topLinePunct w:val="0"/>
        <w:autoSpaceDE/>
        <w:autoSpaceDN w:val="0"/>
        <w:bidi w:val="0"/>
        <w:adjustRightInd/>
        <w:snapToGrid/>
        <w:spacing w:line="560" w:lineRule="exact"/>
        <w:ind w:firstLine="640"/>
        <w:textAlignment w:val="auto"/>
        <w:rPr>
          <w:rFonts w:hint="eastAsia" w:ascii="仿宋" w:hAnsi="仿宋" w:eastAsia="仿宋" w:cs="仿宋"/>
          <w:sz w:val="32"/>
          <w:szCs w:val="32"/>
          <w:lang w:eastAsia="zh-CN"/>
        </w:rPr>
      </w:pPr>
      <w:r>
        <w:rPr>
          <w:rFonts w:hint="eastAsia" w:ascii="仿宋" w:hAnsi="仿宋" w:eastAsia="仿宋" w:cs="仿宋"/>
          <w:sz w:val="32"/>
          <w:szCs w:val="32"/>
        </w:rPr>
        <w:t>公示期问如有异议，可以电话咨询或以书面形式向滑县农业农村局反映</w:t>
      </w:r>
      <w:r>
        <w:rPr>
          <w:rFonts w:hint="eastAsia" w:ascii="仿宋" w:hAnsi="仿宋" w:eastAsia="仿宋" w:cs="仿宋"/>
          <w:sz w:val="32"/>
          <w:szCs w:val="32"/>
          <w:lang w:eastAsia="zh-CN"/>
        </w:rPr>
        <w:t>。</w:t>
      </w:r>
    </w:p>
    <w:p w14:paraId="2194A1F5">
      <w:pPr>
        <w:pStyle w:val="7"/>
        <w:keepNext w:val="0"/>
        <w:keepLines w:val="0"/>
        <w:pageBreakBefore w:val="0"/>
        <w:widowControl w:val="0"/>
        <w:pBdr>
          <w:top w:val="none" w:color="000000" w:sz="0" w:space="0"/>
          <w:left w:val="none" w:color="000000" w:sz="0" w:space="0"/>
          <w:bottom w:val="none" w:color="000000" w:sz="0" w:space="29"/>
          <w:right w:val="none" w:color="000000" w:sz="0" w:space="10"/>
        </w:pBdr>
        <w:kinsoku/>
        <w:wordWrap/>
        <w:overflowPunct/>
        <w:topLinePunct w:val="0"/>
        <w:autoSpaceDE/>
        <w:autoSpaceDN w:val="0"/>
        <w:bidi w:val="0"/>
        <w:adjustRightInd/>
        <w:snapToGrid/>
        <w:spacing w:line="560" w:lineRule="exact"/>
        <w:ind w:firstLine="640"/>
        <w:textAlignment w:val="auto"/>
        <w:rPr>
          <w:rFonts w:hint="eastAsia" w:ascii="仿宋" w:hAnsi="仿宋" w:eastAsia="仿宋" w:cs="仿宋"/>
          <w:sz w:val="32"/>
          <w:szCs w:val="32"/>
        </w:rPr>
      </w:pPr>
    </w:p>
    <w:p w14:paraId="795D766B">
      <w:pPr>
        <w:pStyle w:val="7"/>
        <w:keepNext w:val="0"/>
        <w:keepLines w:val="0"/>
        <w:pageBreakBefore w:val="0"/>
        <w:widowControl w:val="0"/>
        <w:pBdr>
          <w:top w:val="none" w:color="000000" w:sz="0" w:space="0"/>
          <w:left w:val="none" w:color="000000" w:sz="0" w:space="0"/>
          <w:bottom w:val="none" w:color="000000" w:sz="0" w:space="29"/>
          <w:right w:val="none" w:color="000000" w:sz="0" w:space="10"/>
        </w:pBdr>
        <w:kinsoku/>
        <w:wordWrap/>
        <w:overflowPunct/>
        <w:topLinePunct w:val="0"/>
        <w:autoSpaceDE/>
        <w:autoSpaceDN w:val="0"/>
        <w:bidi w:val="0"/>
        <w:adjustRightInd/>
        <w:snapToGrid/>
        <w:spacing w:line="560" w:lineRule="exact"/>
        <w:ind w:firstLine="640"/>
        <w:textAlignment w:val="auto"/>
        <w:rPr>
          <w:rFonts w:hint="eastAsia" w:ascii="Times New Roman" w:hAnsi="Times New Roman" w:eastAsia="仿宋_GB2312" w:cs="Times New Roman"/>
          <w:sz w:val="32"/>
          <w:szCs w:val="32"/>
          <w:lang w:eastAsia="zh-CN"/>
        </w:rPr>
      </w:pPr>
      <w:r>
        <w:rPr>
          <w:rFonts w:hint="eastAsia" w:eastAsia="仿宋_GB2312" w:cs="Times New Roman"/>
          <w:sz w:val="32"/>
          <w:szCs w:val="32"/>
          <w:lang w:eastAsia="zh-CN"/>
        </w:rPr>
        <w:t>附件：</w:t>
      </w:r>
      <w:r>
        <w:rPr>
          <w:rFonts w:hint="eastAsia" w:ascii="仿宋" w:hAnsi="仿宋" w:eastAsia="仿宋" w:cs="仿宋"/>
          <w:sz w:val="32"/>
          <w:szCs w:val="32"/>
          <w:lang w:val="en-US" w:eastAsia="zh-CN"/>
        </w:rPr>
        <w:t>滑县2026年花生规模种植主体单产提升项目</w:t>
      </w:r>
      <w:r>
        <w:rPr>
          <w:rFonts w:hint="eastAsia" w:eastAsia="仿宋_GB2312" w:cs="Times New Roman"/>
          <w:sz w:val="32"/>
          <w:szCs w:val="32"/>
          <w:lang w:eastAsia="zh-CN"/>
        </w:rPr>
        <w:t>补贴清册统计表（公示版）</w:t>
      </w:r>
    </w:p>
    <w:p w14:paraId="04C06AC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0"/>
          <w:szCs w:val="30"/>
        </w:rPr>
      </w:pPr>
    </w:p>
    <w:p w14:paraId="45F51E2E">
      <w:pPr>
        <w:keepNext w:val="0"/>
        <w:keepLines w:val="0"/>
        <w:pageBreakBefore w:val="0"/>
        <w:widowControl w:val="0"/>
        <w:kinsoku/>
        <w:wordWrap/>
        <w:overflowPunct/>
        <w:topLinePunct w:val="0"/>
        <w:autoSpaceDE/>
        <w:autoSpaceDN/>
        <w:bidi w:val="0"/>
        <w:adjustRightInd/>
        <w:snapToGrid/>
        <w:spacing w:line="560" w:lineRule="exact"/>
        <w:ind w:firstLine="5760" w:firstLineChars="1800"/>
        <w:textAlignment w:val="auto"/>
        <w:rPr>
          <w:rFonts w:hint="eastAsia" w:ascii="Times New Roman" w:hAnsi="Times New Roman" w:eastAsia="仿宋_GB2312" w:cs="Times New Roman"/>
          <w:kern w:val="2"/>
          <w:sz w:val="32"/>
          <w:szCs w:val="32"/>
          <w:lang w:val="en-US" w:eastAsia="zh-CN" w:bidi="ar-SA"/>
        </w:rPr>
      </w:pPr>
    </w:p>
    <w:p w14:paraId="063521C9">
      <w:pPr>
        <w:keepNext w:val="0"/>
        <w:keepLines w:val="0"/>
        <w:pageBreakBefore w:val="0"/>
        <w:widowControl w:val="0"/>
        <w:kinsoku/>
        <w:wordWrap/>
        <w:overflowPunct/>
        <w:topLinePunct w:val="0"/>
        <w:autoSpaceDE/>
        <w:autoSpaceDN/>
        <w:bidi w:val="0"/>
        <w:adjustRightInd/>
        <w:snapToGrid/>
        <w:spacing w:line="560" w:lineRule="exact"/>
        <w:ind w:firstLine="5760" w:firstLineChars="1800"/>
        <w:textAlignment w:val="auto"/>
        <w:rPr>
          <w:rFonts w:hint="eastAsia" w:ascii="Times New Roman" w:hAnsi="Times New Roman" w:eastAsia="仿宋_GB2312" w:cs="Times New Roman"/>
          <w:kern w:val="2"/>
          <w:sz w:val="32"/>
          <w:szCs w:val="32"/>
          <w:lang w:val="en-US" w:eastAsia="zh-CN" w:bidi="ar-SA"/>
        </w:rPr>
      </w:pPr>
    </w:p>
    <w:p w14:paraId="216758E1">
      <w:pPr>
        <w:keepNext w:val="0"/>
        <w:keepLines w:val="0"/>
        <w:pageBreakBefore w:val="0"/>
        <w:widowControl w:val="0"/>
        <w:kinsoku/>
        <w:wordWrap/>
        <w:overflowPunct/>
        <w:topLinePunct w:val="0"/>
        <w:autoSpaceDE/>
        <w:autoSpaceDN/>
        <w:bidi w:val="0"/>
        <w:adjustRightInd/>
        <w:snapToGrid/>
        <w:spacing w:line="560" w:lineRule="exact"/>
        <w:ind w:firstLine="5760" w:firstLineChars="18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滑县农业农村局</w:t>
      </w:r>
    </w:p>
    <w:p w14:paraId="2B5D583F">
      <w:pPr>
        <w:keepNext w:val="0"/>
        <w:keepLines w:val="0"/>
        <w:pageBreakBefore w:val="0"/>
        <w:widowControl w:val="0"/>
        <w:kinsoku/>
        <w:wordWrap/>
        <w:overflowPunct/>
        <w:topLinePunct w:val="0"/>
        <w:autoSpaceDE/>
        <w:autoSpaceDN/>
        <w:bidi w:val="0"/>
        <w:adjustRightInd/>
        <w:snapToGrid/>
        <w:spacing w:line="560" w:lineRule="exact"/>
        <w:ind w:firstLine="5760" w:firstLineChars="18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2026年9月21日</w:t>
      </w:r>
    </w:p>
    <w:p w14:paraId="764E284B">
      <w:pPr>
        <w:pStyle w:val="2"/>
        <w:rPr>
          <w:rFonts w:hint="eastAsia" w:ascii="Times New Roman" w:hAnsi="Times New Roman" w:eastAsia="仿宋_GB2312" w:cs="Times New Roman"/>
          <w:kern w:val="2"/>
          <w:sz w:val="32"/>
          <w:szCs w:val="32"/>
          <w:lang w:val="en-US" w:eastAsia="zh-CN" w:bidi="ar-SA"/>
        </w:rPr>
      </w:pPr>
    </w:p>
    <w:p w14:paraId="57C4E25D">
      <w:pPr>
        <w:rPr>
          <w:rFonts w:hint="eastAsia" w:ascii="Times New Roman" w:hAnsi="Times New Roman" w:eastAsia="仿宋_GB2312" w:cs="Times New Roman"/>
          <w:kern w:val="2"/>
          <w:sz w:val="32"/>
          <w:szCs w:val="32"/>
          <w:lang w:val="en-US" w:eastAsia="zh-CN" w:bidi="ar-SA"/>
        </w:rPr>
      </w:pPr>
    </w:p>
    <w:p w14:paraId="644E06AB">
      <w:pPr>
        <w:pStyle w:val="2"/>
        <w:rPr>
          <w:rFonts w:hint="eastAsia" w:ascii="Times New Roman" w:hAnsi="Times New Roman" w:eastAsia="仿宋_GB2312" w:cs="Times New Roman"/>
          <w:kern w:val="2"/>
          <w:sz w:val="32"/>
          <w:szCs w:val="32"/>
          <w:lang w:val="en-US" w:eastAsia="zh-CN" w:bidi="ar-SA"/>
        </w:rPr>
      </w:pPr>
    </w:p>
    <w:p w14:paraId="7E25B041">
      <w:pPr>
        <w:rPr>
          <w:rFonts w:hint="eastAsia" w:ascii="Times New Roman" w:hAnsi="Times New Roman" w:eastAsia="仿宋_GB2312" w:cs="Times New Roman"/>
          <w:kern w:val="2"/>
          <w:sz w:val="32"/>
          <w:szCs w:val="32"/>
          <w:lang w:val="en-US" w:eastAsia="zh-CN" w:bidi="ar-SA"/>
        </w:rPr>
      </w:pPr>
    </w:p>
    <w:p w14:paraId="5A47B34E">
      <w:pPr>
        <w:pStyle w:val="2"/>
        <w:rPr>
          <w:rFonts w:hint="eastAsia" w:ascii="Times New Roman" w:hAnsi="Times New Roman" w:eastAsia="仿宋_GB2312" w:cs="Times New Roman"/>
          <w:kern w:val="2"/>
          <w:sz w:val="32"/>
          <w:szCs w:val="32"/>
          <w:lang w:val="en-US" w:eastAsia="zh-CN" w:bidi="ar-SA"/>
        </w:rPr>
      </w:pPr>
    </w:p>
    <w:p w14:paraId="6FC50B72">
      <w:pPr>
        <w:rPr>
          <w:rFonts w:hint="eastAsia" w:ascii="Times New Roman" w:hAnsi="Times New Roman" w:eastAsia="仿宋_GB2312" w:cs="Times New Roman"/>
          <w:kern w:val="2"/>
          <w:sz w:val="32"/>
          <w:szCs w:val="32"/>
          <w:lang w:val="en-US" w:eastAsia="zh-CN" w:bidi="ar-SA"/>
        </w:rPr>
      </w:pPr>
    </w:p>
    <w:p w14:paraId="2E5488AB">
      <w:pPr>
        <w:pStyle w:val="2"/>
        <w:rPr>
          <w:rFonts w:hint="eastAsia"/>
          <w:lang w:val="en-US" w:eastAsia="zh-CN"/>
        </w:rPr>
      </w:pPr>
      <w:r>
        <w:rPr>
          <w:rFonts w:hint="eastAsia" w:ascii="Times New Roman" w:hAnsi="Times New Roman" w:eastAsia="仿宋_GB2312" w:cs="Times New Roman"/>
          <w:kern w:val="2"/>
          <w:sz w:val="32"/>
          <w:szCs w:val="32"/>
          <w:lang w:val="en-US" w:eastAsia="zh-CN" w:bidi="ar-SA"/>
        </w:rPr>
        <w:t>附件：</w:t>
      </w:r>
    </w:p>
    <w:p w14:paraId="47631CAD">
      <w:pPr>
        <w:pStyle w:val="2"/>
        <w:rPr>
          <w:rFonts w:hint="default"/>
          <w:lang w:val="en-US" w:eastAsia="zh-CN"/>
        </w:rPr>
      </w:pPr>
    </w:p>
    <w:p w14:paraId="4333D2D8">
      <w:pPr>
        <w:rPr>
          <w:rFonts w:hint="default"/>
          <w:lang w:val="en-US" w:eastAsia="zh-CN"/>
        </w:rPr>
      </w:pPr>
      <w:r>
        <w:rPr>
          <w:rFonts w:hint="default"/>
          <w:lang w:val="en-US" w:eastAsia="zh-CN"/>
        </w:rPr>
        <w:drawing>
          <wp:inline distT="0" distB="0" distL="114300" distR="114300">
            <wp:extent cx="5629275" cy="3747770"/>
            <wp:effectExtent l="0" t="0" r="9525" b="5080"/>
            <wp:docPr id="1" name="图片 1" descr="812fe27c86cf7051718f0e8dbe8fdb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12fe27c86cf7051718f0e8dbe8fdb04"/>
                    <pic:cNvPicPr>
                      <a:picLocks noChangeAspect="1"/>
                    </pic:cNvPicPr>
                  </pic:nvPicPr>
                  <pic:blipFill>
                    <a:blip r:embed="rId4"/>
                    <a:stretch>
                      <a:fillRect/>
                    </a:stretch>
                  </pic:blipFill>
                  <pic:spPr>
                    <a:xfrm>
                      <a:off x="0" y="0"/>
                      <a:ext cx="5629275" cy="3747770"/>
                    </a:xfrm>
                    <a:prstGeom prst="rect">
                      <a:avLst/>
                    </a:prstGeom>
                  </pic:spPr>
                </pic:pic>
              </a:graphicData>
            </a:graphic>
          </wp:inline>
        </w:drawing>
      </w:r>
    </w:p>
    <w:p w14:paraId="2E90E182">
      <w:pPr>
        <w:pStyle w:val="2"/>
        <w:rPr>
          <w:rFonts w:hint="default"/>
          <w:lang w:val="en-US" w:eastAsia="zh-CN"/>
        </w:rPr>
      </w:pPr>
      <w:r>
        <w:rPr>
          <w:rFonts w:hint="default"/>
          <w:lang w:val="en-US" w:eastAsia="zh-CN"/>
        </w:rPr>
        <w:drawing>
          <wp:inline distT="0" distB="0" distL="114300" distR="114300">
            <wp:extent cx="5602605" cy="3482340"/>
            <wp:effectExtent l="0" t="0" r="17145" b="3810"/>
            <wp:docPr id="2" name="图片 2" descr="5f3a3ad755a76340a98f2646f8070b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f3a3ad755a76340a98f2646f8070b6a"/>
                    <pic:cNvPicPr>
                      <a:picLocks noChangeAspect="1"/>
                    </pic:cNvPicPr>
                  </pic:nvPicPr>
                  <pic:blipFill>
                    <a:blip r:embed="rId5"/>
                    <a:srcRect r="1038"/>
                    <a:stretch>
                      <a:fillRect/>
                    </a:stretch>
                  </pic:blipFill>
                  <pic:spPr>
                    <a:xfrm>
                      <a:off x="0" y="0"/>
                      <a:ext cx="5602605" cy="3482340"/>
                    </a:xfrm>
                    <a:prstGeom prst="rect">
                      <a:avLst/>
                    </a:prstGeom>
                  </pic:spPr>
                </pic:pic>
              </a:graphicData>
            </a:graphic>
          </wp:inline>
        </w:drawing>
      </w:r>
      <w:bookmarkStart w:id="1" w:name="_GoBack"/>
      <w:bookmarkEnd w:id="1"/>
    </w:p>
    <w:sectPr>
      <w:pgSz w:w="11906" w:h="16838"/>
      <w:pgMar w:top="1723" w:right="1519" w:bottom="1497"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0"/>
    <w:family w:val="moder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Noto Sans CJK SC"/>
    <w:panose1 w:val="02010600030101010101"/>
    <w:charset w:val="00"/>
    <w:family w:val="auto"/>
    <w:pitch w:val="default"/>
    <w:sig w:usb0="00000000" w:usb1="00000000" w:usb2="00000016" w:usb3="00000000" w:csb0="0004000F" w:csb1="00000000"/>
  </w:font>
  <w:font w:name="Noto Sans CJK SC">
    <w:panose1 w:val="020B0500000000000000"/>
    <w:charset w:val="86"/>
    <w:family w:val="auto"/>
    <w:pitch w:val="default"/>
    <w:sig w:usb0="30000083" w:usb1="2BDF3C10" w:usb2="00000016" w:usb3="00000000" w:csb0="602E0107"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国标黑体">
    <w:panose1 w:val="020005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JkM2Q0YTRjODJhMzY4MDdkODU2MjFhNzU1YjhiMjEifQ=="/>
  </w:docVars>
  <w:rsids>
    <w:rsidRoot w:val="00000000"/>
    <w:rsid w:val="06BE3449"/>
    <w:rsid w:val="08236132"/>
    <w:rsid w:val="10EC5C5A"/>
    <w:rsid w:val="129222FB"/>
    <w:rsid w:val="18CB216F"/>
    <w:rsid w:val="1CA42CC3"/>
    <w:rsid w:val="1F6FF7D8"/>
    <w:rsid w:val="2541798D"/>
    <w:rsid w:val="254E3892"/>
    <w:rsid w:val="25C73059"/>
    <w:rsid w:val="2AA979BC"/>
    <w:rsid w:val="303E14AB"/>
    <w:rsid w:val="30566FFB"/>
    <w:rsid w:val="32AC4DF2"/>
    <w:rsid w:val="331119BA"/>
    <w:rsid w:val="356B3A25"/>
    <w:rsid w:val="398351D0"/>
    <w:rsid w:val="3BAF2436"/>
    <w:rsid w:val="3C183707"/>
    <w:rsid w:val="3ED5122D"/>
    <w:rsid w:val="3F2B0AF6"/>
    <w:rsid w:val="3FE101E3"/>
    <w:rsid w:val="434F77FF"/>
    <w:rsid w:val="4A2B2A1F"/>
    <w:rsid w:val="4B7D0C82"/>
    <w:rsid w:val="4B7D3F13"/>
    <w:rsid w:val="4F2E49C7"/>
    <w:rsid w:val="4F4B66FF"/>
    <w:rsid w:val="54091C4C"/>
    <w:rsid w:val="54C37300"/>
    <w:rsid w:val="559845A6"/>
    <w:rsid w:val="56FC818D"/>
    <w:rsid w:val="5945BD12"/>
    <w:rsid w:val="5B2F1F99"/>
    <w:rsid w:val="5C7D6D34"/>
    <w:rsid w:val="612401DE"/>
    <w:rsid w:val="61673F39"/>
    <w:rsid w:val="65177F59"/>
    <w:rsid w:val="66FF9FF7"/>
    <w:rsid w:val="6729692D"/>
    <w:rsid w:val="67F02B95"/>
    <w:rsid w:val="6C807042"/>
    <w:rsid w:val="6D5B6C1D"/>
    <w:rsid w:val="6F190B3E"/>
    <w:rsid w:val="702514EF"/>
    <w:rsid w:val="71771B4C"/>
    <w:rsid w:val="742A559B"/>
    <w:rsid w:val="742B6EB8"/>
    <w:rsid w:val="753FB458"/>
    <w:rsid w:val="76BEAB8B"/>
    <w:rsid w:val="77F722CE"/>
    <w:rsid w:val="79D02741"/>
    <w:rsid w:val="79F6A00B"/>
    <w:rsid w:val="7A536B34"/>
    <w:rsid w:val="7D5D6710"/>
    <w:rsid w:val="7D7F4403"/>
    <w:rsid w:val="7E77C2FF"/>
    <w:rsid w:val="967DFA6F"/>
    <w:rsid w:val="AAB94047"/>
    <w:rsid w:val="BD7E6590"/>
    <w:rsid w:val="BFD4E398"/>
    <w:rsid w:val="D1B34EE1"/>
    <w:rsid w:val="DAFB5989"/>
    <w:rsid w:val="DBBC9CF3"/>
    <w:rsid w:val="DEC33784"/>
    <w:rsid w:val="FBDA1F22"/>
    <w:rsid w:val="FEE96B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qFormat/>
    <w:uiPriority w:val="0"/>
    <w:pPr>
      <w:keepNext/>
      <w:keepLines/>
      <w:spacing w:before="260" w:after="260" w:line="415" w:lineRule="auto"/>
      <w:outlineLvl w:val="2"/>
    </w:pPr>
    <w:rPr>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正文2"/>
    <w:basedOn w:val="1"/>
    <w:next w:val="1"/>
    <w:qFormat/>
    <w:uiPriority w:val="0"/>
    <w:rPr>
      <w:rFonts w:ascii="Calibri" w:hAnsi="Calibri" w:cs="Times New Roman"/>
      <w:szCs w:val="24"/>
    </w:rPr>
  </w:style>
  <w:style w:type="paragraph" w:styleId="4">
    <w:name w:val="Body Text"/>
    <w:basedOn w:val="1"/>
    <w:next w:val="1"/>
    <w:qFormat/>
    <w:uiPriority w:val="1"/>
    <w:rPr>
      <w:rFonts w:ascii="宋体" w:hAnsi="宋体" w:cs="宋体"/>
      <w:sz w:val="29"/>
      <w:szCs w:val="29"/>
    </w:rPr>
  </w:style>
  <w:style w:type="paragraph" w:customStyle="1" w:styleId="7">
    <w:name w:val="正文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538</Words>
  <Characters>604</Characters>
  <Lines>0</Lines>
  <Paragraphs>0</Paragraphs>
  <TotalTime>0</TotalTime>
  <ScaleCrop>false</ScaleCrop>
  <LinksUpToDate>false</LinksUpToDate>
  <CharactersWithSpaces>605</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2024-10-30T00:16:00Z</dcterms:created>
  <dc:creator>Administrator</dc:creator>
  <cp:lastModifiedBy>user</cp:lastModifiedBy>
  <cp:lastPrinted>2025-07-20T02:48:00Z</cp:lastPrinted>
  <dcterms:modified xsi:type="dcterms:W3CDTF">2026-09-17T11:53:35Z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3C3945EC22FE4BFB870A2D79B042C4BD_12</vt:lpwstr>
  </property>
</Properties>
</file>