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C47BF18">
      <w:pPr>
        <w:pStyle w:val="3"/>
        <w:widowControl/>
        <w:spacing w:line="360" w:lineRule="auto"/>
        <w:jc w:val="center"/>
        <w:rPr>
          <w:rFonts w:ascii="方正小标宋简体" w:hAnsi="方正小标宋简体" w:eastAsia="方正小标宋简体" w:cs="方正小标宋简体"/>
          <w:color w:val="333333"/>
          <w:sz w:val="30"/>
          <w:szCs w:val="30"/>
        </w:rPr>
      </w:pPr>
      <w:r>
        <w:rPr>
          <w:rFonts w:ascii="方正小标宋简体" w:hAnsi="方正小标宋简体" w:eastAsia="方正小标宋简体" w:cs="方正小标宋简体"/>
          <w:color w:val="333333"/>
          <w:sz w:val="30"/>
          <w:szCs w:val="30"/>
        </w:rPr>
        <w:t>关于</w:t>
      </w:r>
      <w:r>
        <w:rPr>
          <w:rFonts w:hint="eastAsia" w:ascii="方正小标宋简体" w:hAnsi="方正小标宋简体" w:eastAsia="方正小标宋简体" w:cs="方正小标宋简体"/>
          <w:color w:val="333333"/>
          <w:sz w:val="30"/>
          <w:szCs w:val="30"/>
        </w:rPr>
        <w:t>202</w:t>
      </w:r>
      <w:r>
        <w:rPr>
          <w:rFonts w:hint="eastAsia" w:ascii="方正小标宋简体" w:hAnsi="方正小标宋简体" w:eastAsia="方正小标宋简体" w:cs="方正小标宋简体"/>
          <w:color w:val="333333"/>
          <w:sz w:val="30"/>
          <w:szCs w:val="30"/>
          <w:lang w:val="en-US" w:eastAsia="zh-CN"/>
        </w:rPr>
        <w:t>6</w:t>
      </w:r>
      <w:r>
        <w:rPr>
          <w:rFonts w:hint="eastAsia" w:ascii="方正小标宋简体" w:hAnsi="方正小标宋简体" w:eastAsia="方正小标宋简体" w:cs="方正小标宋简体"/>
          <w:color w:val="333333"/>
          <w:sz w:val="30"/>
          <w:szCs w:val="30"/>
        </w:rPr>
        <w:t>年</w:t>
      </w:r>
      <w:r>
        <w:rPr>
          <w:rFonts w:hint="eastAsia" w:ascii="方正小标宋简体" w:hAnsi="方正小标宋简体" w:eastAsia="方正小标宋简体" w:cs="方正小标宋简体"/>
          <w:color w:val="333333"/>
          <w:sz w:val="30"/>
          <w:szCs w:val="30"/>
          <w:lang w:val="en-US" w:eastAsia="zh-CN"/>
        </w:rPr>
        <w:t>9</w:t>
      </w:r>
      <w:r>
        <w:rPr>
          <w:rFonts w:hint="eastAsia" w:ascii="方正小标宋简体" w:hAnsi="方正小标宋简体" w:eastAsia="方正小标宋简体" w:cs="方正小标宋简体"/>
          <w:color w:val="333333"/>
          <w:sz w:val="30"/>
          <w:szCs w:val="30"/>
        </w:rPr>
        <w:t>月</w:t>
      </w:r>
      <w:r>
        <w:rPr>
          <w:rFonts w:hint="eastAsia" w:ascii="方正小标宋简体" w:hAnsi="方正小标宋简体" w:eastAsia="方正小标宋简体" w:cs="方正小标宋简体"/>
          <w:color w:val="333333"/>
          <w:sz w:val="30"/>
          <w:szCs w:val="30"/>
          <w:lang w:val="en-US" w:eastAsia="zh-CN"/>
        </w:rPr>
        <w:t>8</w:t>
      </w:r>
      <w:r>
        <w:rPr>
          <w:rFonts w:ascii="方正小标宋简体" w:hAnsi="方正小标宋简体" w:eastAsia="方正小标宋简体" w:cs="方正小标宋简体"/>
          <w:color w:val="333333"/>
          <w:sz w:val="30"/>
          <w:szCs w:val="30"/>
        </w:rPr>
        <w:t>日</w:t>
      </w:r>
      <w:r>
        <w:rPr>
          <w:rFonts w:hint="eastAsia" w:ascii="方正小标宋简体" w:hAnsi="方正小标宋简体" w:eastAsia="方正小标宋简体" w:cs="方正小标宋简体"/>
          <w:color w:val="333333"/>
          <w:sz w:val="30"/>
          <w:szCs w:val="30"/>
        </w:rPr>
        <w:t>拟作出的建设项目</w:t>
      </w:r>
      <w:r>
        <w:rPr>
          <w:rFonts w:hint="eastAsia" w:ascii="方正小标宋简体" w:hAnsi="方正小标宋简体" w:eastAsia="方正小标宋简体" w:cs="方正小标宋简体"/>
          <w:color w:val="333333"/>
          <w:sz w:val="30"/>
          <w:szCs w:val="30"/>
          <w:lang w:val="en-US" w:eastAsia="zh-CN"/>
        </w:rPr>
        <w:t>生态</w:t>
      </w:r>
      <w:r>
        <w:rPr>
          <w:rFonts w:hint="eastAsia" w:ascii="方正小标宋简体" w:hAnsi="方正小标宋简体" w:eastAsia="方正小标宋简体" w:cs="方正小标宋简体"/>
          <w:color w:val="333333"/>
          <w:sz w:val="30"/>
          <w:szCs w:val="30"/>
        </w:rPr>
        <w:t>环境影响评价文件</w:t>
      </w:r>
    </w:p>
    <w:p w14:paraId="7C5DCEEF">
      <w:pPr>
        <w:pStyle w:val="3"/>
        <w:widowControl/>
        <w:spacing w:line="360" w:lineRule="auto"/>
        <w:jc w:val="center"/>
        <w:rPr>
          <w:rFonts w:ascii="方正小标宋简体" w:hAnsi="方正小标宋简体" w:eastAsia="方正小标宋简体" w:cs="方正小标宋简体"/>
          <w:color w:val="333333"/>
          <w:sz w:val="30"/>
          <w:szCs w:val="30"/>
        </w:rPr>
      </w:pPr>
      <w:r>
        <w:rPr>
          <w:rFonts w:hint="eastAsia" w:ascii="方正小标宋简体" w:hAnsi="方正小标宋简体" w:eastAsia="方正小标宋简体" w:cs="方正小标宋简体"/>
          <w:color w:val="333333"/>
          <w:sz w:val="30"/>
          <w:szCs w:val="30"/>
        </w:rPr>
        <w:t>批</w:t>
      </w:r>
      <w:r>
        <w:rPr>
          <w:rFonts w:hint="eastAsia" w:ascii="方正小标宋简体" w:hAnsi="方正小标宋简体" w:eastAsia="方正小标宋简体" w:cs="方正小标宋简体"/>
          <w:color w:val="333333"/>
          <w:sz w:val="30"/>
          <w:szCs w:val="30"/>
          <w:lang w:val="en-US" w:eastAsia="zh-CN"/>
        </w:rPr>
        <w:t>准</w:t>
      </w:r>
      <w:r>
        <w:rPr>
          <w:rFonts w:hint="eastAsia" w:ascii="方正小标宋简体" w:hAnsi="方正小标宋简体" w:eastAsia="方正小标宋简体" w:cs="方正小标宋简体"/>
          <w:color w:val="333333"/>
          <w:sz w:val="30"/>
          <w:szCs w:val="30"/>
        </w:rPr>
        <w:t>决定的公示</w:t>
      </w:r>
    </w:p>
    <w:p w14:paraId="794A2676">
      <w:pPr>
        <w:pStyle w:val="3"/>
        <w:widowControl/>
        <w:shd w:val="clear" w:color="auto" w:fill="FFFFFF"/>
        <w:spacing w:before="75" w:beforeAutospacing="0" w:after="75" w:afterAutospacing="0"/>
        <w:rPr>
          <w:rFonts w:ascii="sans-serif" w:hAnsi="sans-serif" w:eastAsia="sans-serif" w:cs="sans-serif"/>
          <w:color w:val="000000"/>
        </w:rPr>
      </w:pPr>
      <w:r>
        <w:rPr>
          <w:rFonts w:hint="eastAsia" w:ascii="宋体" w:hAnsi="宋体" w:eastAsia="宋体" w:cs="宋体"/>
          <w:color w:val="333333"/>
          <w:sz w:val="19"/>
          <w:szCs w:val="19"/>
          <w:shd w:val="clear" w:color="auto" w:fill="FFFFFF"/>
        </w:rPr>
        <w:t>  </w:t>
      </w:r>
      <w:r>
        <w:rPr>
          <w:rFonts w:hint="eastAsia" w:ascii="宋体" w:hAnsi="宋体" w:eastAsia="宋体" w:cs="宋体"/>
          <w:color w:val="000000"/>
          <w:sz w:val="21"/>
          <w:szCs w:val="21"/>
          <w:shd w:val="clear" w:color="auto" w:fill="FFFFFF"/>
        </w:rPr>
        <w:t>根据建设项目环境影响评价审批程序的有关规定，经审议，我局拟对1个建设项目</w:t>
      </w:r>
      <w:r>
        <w:rPr>
          <w:rFonts w:hint="eastAsia" w:ascii="宋体" w:hAnsi="宋体" w:eastAsia="宋体" w:cs="宋体"/>
          <w:color w:val="000000"/>
          <w:sz w:val="21"/>
          <w:szCs w:val="21"/>
          <w:shd w:val="clear" w:color="auto" w:fill="FFFFFF"/>
          <w:lang w:val="en-US" w:eastAsia="zh-CN"/>
        </w:rPr>
        <w:t>生态</w:t>
      </w:r>
      <w:r>
        <w:rPr>
          <w:rFonts w:hint="eastAsia" w:ascii="宋体" w:hAnsi="宋体" w:eastAsia="宋体" w:cs="宋体"/>
          <w:color w:val="000000"/>
          <w:sz w:val="21"/>
          <w:szCs w:val="21"/>
          <w:shd w:val="clear" w:color="auto" w:fill="FFFFFF"/>
        </w:rPr>
        <w:t>环境影响评价文件作出审批意见。为保证审批意见的严肃性和公正性，现将各建设项目</w:t>
      </w:r>
      <w:r>
        <w:rPr>
          <w:rFonts w:hint="eastAsia" w:ascii="宋体" w:hAnsi="宋体" w:eastAsia="宋体" w:cs="宋体"/>
          <w:color w:val="000000"/>
          <w:sz w:val="21"/>
          <w:szCs w:val="21"/>
          <w:shd w:val="clear" w:color="auto" w:fill="FFFFFF"/>
          <w:lang w:val="en-US" w:eastAsia="zh-CN"/>
        </w:rPr>
        <w:t>生态</w:t>
      </w:r>
      <w:r>
        <w:rPr>
          <w:rFonts w:hint="eastAsia" w:ascii="宋体" w:hAnsi="宋体" w:eastAsia="宋体" w:cs="宋体"/>
          <w:color w:val="000000"/>
          <w:sz w:val="21"/>
          <w:szCs w:val="21"/>
          <w:shd w:val="clear" w:color="auto" w:fill="FFFFFF"/>
        </w:rPr>
        <w:t>环境影响评价文件的基本情况予以公示。如有异议，请在公示期内反馈我局环评科。公示期为202</w:t>
      </w:r>
      <w:r>
        <w:rPr>
          <w:rFonts w:hint="eastAsia" w:ascii="宋体" w:hAnsi="宋体" w:eastAsia="宋体" w:cs="宋体"/>
          <w:color w:val="000000"/>
          <w:sz w:val="21"/>
          <w:szCs w:val="21"/>
          <w:shd w:val="clear" w:color="auto" w:fill="FFFFFF"/>
          <w:lang w:val="en-US" w:eastAsia="zh-CN"/>
        </w:rPr>
        <w:t>6</w:t>
      </w:r>
      <w:r>
        <w:rPr>
          <w:rFonts w:hint="eastAsia" w:ascii="宋体" w:hAnsi="宋体" w:eastAsia="宋体" w:cs="宋体"/>
          <w:color w:val="000000"/>
          <w:sz w:val="21"/>
          <w:szCs w:val="21"/>
          <w:shd w:val="clear" w:color="auto" w:fill="FFFFFF"/>
        </w:rPr>
        <w:t>年</w:t>
      </w:r>
      <w:r>
        <w:rPr>
          <w:rFonts w:hint="eastAsia" w:ascii="宋体" w:hAnsi="宋体" w:eastAsia="宋体" w:cs="宋体"/>
          <w:color w:val="000000"/>
          <w:sz w:val="21"/>
          <w:szCs w:val="21"/>
          <w:shd w:val="clear" w:color="auto" w:fill="FFFFFF"/>
          <w:lang w:val="en-US" w:eastAsia="zh-CN"/>
        </w:rPr>
        <w:t>9</w:t>
      </w:r>
      <w:r>
        <w:rPr>
          <w:rFonts w:hint="eastAsia" w:ascii="宋体" w:hAnsi="宋体" w:eastAsia="宋体" w:cs="宋体"/>
          <w:color w:val="000000"/>
          <w:sz w:val="21"/>
          <w:szCs w:val="21"/>
          <w:shd w:val="clear" w:color="auto" w:fill="FFFFFF"/>
        </w:rPr>
        <w:t>月</w:t>
      </w:r>
      <w:r>
        <w:rPr>
          <w:rFonts w:hint="eastAsia" w:ascii="宋体" w:hAnsi="宋体" w:eastAsia="宋体" w:cs="宋体"/>
          <w:color w:val="000000"/>
          <w:sz w:val="21"/>
          <w:szCs w:val="21"/>
          <w:shd w:val="clear" w:color="auto" w:fill="FFFFFF"/>
          <w:lang w:val="en-US" w:eastAsia="zh-CN"/>
        </w:rPr>
        <w:t>8</w:t>
      </w:r>
      <w:r>
        <w:rPr>
          <w:rFonts w:hint="eastAsia" w:ascii="宋体" w:hAnsi="宋体" w:eastAsia="宋体" w:cs="宋体"/>
          <w:color w:val="000000"/>
          <w:sz w:val="21"/>
          <w:szCs w:val="21"/>
          <w:shd w:val="clear" w:color="auto" w:fill="FFFFFF"/>
        </w:rPr>
        <w:t>日－202</w:t>
      </w:r>
      <w:r>
        <w:rPr>
          <w:rFonts w:hint="eastAsia" w:ascii="宋体" w:hAnsi="宋体" w:eastAsia="宋体" w:cs="宋体"/>
          <w:color w:val="000000"/>
          <w:sz w:val="21"/>
          <w:szCs w:val="21"/>
          <w:shd w:val="clear" w:color="auto" w:fill="FFFFFF"/>
          <w:lang w:val="en-US" w:eastAsia="zh-CN"/>
        </w:rPr>
        <w:t>6</w:t>
      </w:r>
      <w:r>
        <w:rPr>
          <w:rFonts w:hint="eastAsia" w:ascii="宋体" w:hAnsi="宋体" w:eastAsia="宋体" w:cs="宋体"/>
          <w:color w:val="000000"/>
          <w:sz w:val="21"/>
          <w:szCs w:val="21"/>
          <w:shd w:val="clear" w:color="auto" w:fill="FFFFFF"/>
        </w:rPr>
        <w:t>年</w:t>
      </w:r>
      <w:r>
        <w:rPr>
          <w:rFonts w:hint="eastAsia" w:ascii="宋体" w:hAnsi="宋体" w:eastAsia="宋体" w:cs="宋体"/>
          <w:color w:val="000000"/>
          <w:sz w:val="21"/>
          <w:szCs w:val="21"/>
          <w:shd w:val="clear" w:color="auto" w:fill="FFFFFF"/>
          <w:lang w:val="en-US" w:eastAsia="zh-CN"/>
        </w:rPr>
        <w:t>9</w:t>
      </w:r>
      <w:r>
        <w:rPr>
          <w:rFonts w:hint="eastAsia" w:ascii="宋体" w:hAnsi="宋体" w:eastAsia="宋体" w:cs="宋体"/>
          <w:color w:val="000000"/>
          <w:sz w:val="21"/>
          <w:szCs w:val="21"/>
          <w:shd w:val="clear" w:color="auto" w:fill="FFFFFF"/>
        </w:rPr>
        <w:t>月</w:t>
      </w:r>
      <w:r>
        <w:rPr>
          <w:rFonts w:hint="eastAsia" w:ascii="宋体" w:hAnsi="宋体" w:eastAsia="宋体" w:cs="宋体"/>
          <w:color w:val="000000"/>
          <w:sz w:val="21"/>
          <w:szCs w:val="21"/>
          <w:shd w:val="clear" w:color="auto" w:fill="FFFFFF"/>
          <w:lang w:val="en-US" w:eastAsia="zh-CN"/>
        </w:rPr>
        <w:t>14</w:t>
      </w:r>
      <w:r>
        <w:rPr>
          <w:rFonts w:hint="eastAsia" w:ascii="宋体" w:hAnsi="宋体" w:eastAsia="宋体" w:cs="宋体"/>
          <w:color w:val="000000"/>
          <w:sz w:val="21"/>
          <w:szCs w:val="21"/>
          <w:shd w:val="clear" w:color="auto" w:fill="FFFFFF"/>
        </w:rPr>
        <w:t>日（5个工作日）。</w:t>
      </w:r>
    </w:p>
    <w:p w14:paraId="6AF4FD29">
      <w:pPr>
        <w:pStyle w:val="3"/>
        <w:widowControl/>
        <w:shd w:val="clear" w:color="auto" w:fill="FFFFFF"/>
        <w:spacing w:before="75" w:beforeAutospacing="0" w:after="75" w:afterAutospacing="0"/>
        <w:ind w:firstLine="420" w:firstLineChars="200"/>
        <w:rPr>
          <w:rFonts w:ascii="sans-serif" w:hAnsi="sans-serif" w:eastAsia="sans-serif" w:cs="sans-serif"/>
          <w:color w:val="000000"/>
        </w:rPr>
      </w:pPr>
      <w:r>
        <w:rPr>
          <w:rFonts w:hint="eastAsia" w:ascii="宋体" w:hAnsi="宋体" w:eastAsia="宋体" w:cs="宋体"/>
          <w:color w:val="000000"/>
          <w:sz w:val="21"/>
          <w:szCs w:val="21"/>
          <w:shd w:val="clear" w:color="auto" w:fill="FFFFFF"/>
        </w:rPr>
        <w:t>电话：0372—8181590</w:t>
      </w:r>
    </w:p>
    <w:p w14:paraId="1C809872">
      <w:pPr>
        <w:pStyle w:val="3"/>
        <w:widowControl/>
        <w:spacing w:before="75" w:beforeAutospacing="0" w:after="75" w:afterAutospacing="0"/>
        <w:ind w:firstLine="420" w:firstLineChars="200"/>
        <w:rPr>
          <w:rFonts w:ascii="sans-serif" w:hAnsi="sans-serif" w:eastAsia="sans-serif" w:cs="sans-serif"/>
          <w:color w:val="000000"/>
        </w:rPr>
      </w:pPr>
      <w:r>
        <w:rPr>
          <w:rFonts w:hint="eastAsia" w:ascii="宋体" w:hAnsi="宋体" w:eastAsia="宋体" w:cs="宋体"/>
          <w:color w:val="000000"/>
          <w:sz w:val="21"/>
          <w:szCs w:val="21"/>
        </w:rPr>
        <w:t>通讯地址：</w:t>
      </w:r>
      <w:r>
        <w:rPr>
          <w:rFonts w:hint="eastAsia"/>
          <w:color w:val="000000"/>
          <w:sz w:val="21"/>
          <w:szCs w:val="21"/>
        </w:rPr>
        <w:t>滑县创业大道与欧阳路交叉口向东50米路北</w:t>
      </w:r>
      <w:r>
        <w:rPr>
          <w:rFonts w:hint="eastAsia" w:ascii="宋体" w:hAnsi="宋体" w:eastAsia="宋体" w:cs="宋体"/>
          <w:color w:val="000000"/>
          <w:sz w:val="21"/>
          <w:szCs w:val="21"/>
        </w:rPr>
        <w:t>（456400）</w:t>
      </w:r>
    </w:p>
    <w:p w14:paraId="1BA871D8">
      <w:pPr>
        <w:pStyle w:val="3"/>
        <w:widowControl/>
        <w:shd w:val="clear" w:color="auto" w:fill="FFFFFF"/>
        <w:spacing w:before="75" w:beforeAutospacing="0" w:after="75" w:afterAutospacing="0"/>
        <w:ind w:firstLine="420" w:firstLineChars="200"/>
        <w:rPr>
          <w:rFonts w:ascii="sans-serif" w:hAnsi="sans-serif" w:eastAsia="sans-serif" w:cs="sans-serif"/>
          <w:color w:val="000000"/>
        </w:rPr>
      </w:pPr>
      <w:r>
        <w:rPr>
          <w:rFonts w:hint="eastAsia" w:ascii="宋体" w:hAnsi="宋体" w:eastAsia="宋体" w:cs="宋体"/>
          <w:color w:val="000000"/>
          <w:sz w:val="21"/>
          <w:szCs w:val="21"/>
          <w:shd w:val="clear" w:color="auto" w:fill="FFFFFF"/>
        </w:rPr>
        <w:t>听证告知：依据《中华人民共和国行政许可法》，自公示起五个工作日内申请人、有重大利益关系的利害关系人可对以下拟作出的</w:t>
      </w:r>
      <w:r>
        <w:rPr>
          <w:rFonts w:hint="eastAsia" w:ascii="宋体" w:hAnsi="宋体" w:eastAsia="宋体" w:cs="宋体"/>
          <w:color w:val="000000"/>
          <w:sz w:val="21"/>
          <w:szCs w:val="21"/>
          <w:shd w:val="clear" w:color="auto" w:fill="FFFFFF"/>
          <w:lang w:val="en-US" w:eastAsia="zh-CN"/>
        </w:rPr>
        <w:t>生态</w:t>
      </w:r>
      <w:r>
        <w:rPr>
          <w:rFonts w:hint="eastAsia" w:ascii="宋体" w:hAnsi="宋体" w:eastAsia="宋体" w:cs="宋体"/>
          <w:color w:val="000000"/>
          <w:sz w:val="21"/>
          <w:szCs w:val="21"/>
          <w:shd w:val="clear" w:color="auto" w:fill="FFFFFF"/>
        </w:rPr>
        <w:t>建设项目环境影响评价文件批复决定要求听证。</w:t>
      </w:r>
    </w:p>
    <w:p w14:paraId="18B1375B">
      <w:pPr>
        <w:pStyle w:val="3"/>
        <w:widowControl/>
        <w:shd w:val="clear" w:color="auto" w:fill="FFFFFF"/>
        <w:spacing w:before="75" w:beforeAutospacing="0" w:after="75" w:afterAutospacing="0"/>
        <w:jc w:val="both"/>
        <w:rPr>
          <w:rFonts w:ascii="sans-serif" w:hAnsi="sans-serif" w:eastAsia="sans-serif" w:cs="sans-serif"/>
          <w:color w:val="000000"/>
        </w:rPr>
      </w:pPr>
      <w:r>
        <w:rPr>
          <w:rFonts w:hint="eastAsia" w:ascii="宋体" w:hAnsi="宋体" w:eastAsia="宋体" w:cs="宋体"/>
          <w:color w:val="000000"/>
          <w:sz w:val="21"/>
          <w:szCs w:val="21"/>
          <w:shd w:val="clear" w:color="auto" w:fill="FFFFFF"/>
        </w:rPr>
        <w:t>拟审批的建设项目</w:t>
      </w:r>
      <w:r>
        <w:rPr>
          <w:rFonts w:hint="eastAsia" w:ascii="宋体" w:hAnsi="宋体" w:eastAsia="宋体" w:cs="宋体"/>
          <w:color w:val="000000"/>
          <w:sz w:val="21"/>
          <w:szCs w:val="21"/>
          <w:shd w:val="clear" w:color="auto" w:fill="FFFFFF"/>
          <w:lang w:val="en-US" w:eastAsia="zh-CN"/>
        </w:rPr>
        <w:t>生态</w:t>
      </w:r>
      <w:r>
        <w:rPr>
          <w:rFonts w:hint="eastAsia" w:ascii="宋体" w:hAnsi="宋体" w:eastAsia="宋体" w:cs="宋体"/>
          <w:color w:val="000000"/>
          <w:sz w:val="21"/>
          <w:szCs w:val="21"/>
          <w:shd w:val="clear" w:color="auto" w:fill="FFFFFF"/>
        </w:rPr>
        <w:t>环境影响文件</w:t>
      </w:r>
    </w:p>
    <w:tbl>
      <w:tblPr>
        <w:tblStyle w:val="4"/>
        <w:tblW w:w="8115" w:type="dxa"/>
        <w:tblInd w:w="0" w:type="dxa"/>
        <w:tblLayout w:type="autofit"/>
        <w:tblCellMar>
          <w:top w:w="15" w:type="dxa"/>
          <w:left w:w="15" w:type="dxa"/>
          <w:bottom w:w="15" w:type="dxa"/>
          <w:right w:w="15" w:type="dxa"/>
        </w:tblCellMar>
      </w:tblPr>
      <w:tblGrid>
        <w:gridCol w:w="399"/>
        <w:gridCol w:w="389"/>
        <w:gridCol w:w="997"/>
        <w:gridCol w:w="1103"/>
        <w:gridCol w:w="714"/>
        <w:gridCol w:w="860"/>
        <w:gridCol w:w="3653"/>
      </w:tblGrid>
      <w:tr w14:paraId="65ACC274">
        <w:tblPrEx>
          <w:tblCellMar>
            <w:top w:w="15" w:type="dxa"/>
            <w:left w:w="15" w:type="dxa"/>
            <w:bottom w:w="15" w:type="dxa"/>
            <w:right w:w="15" w:type="dxa"/>
          </w:tblCellMar>
        </w:tblPrEx>
        <w:trPr>
          <w:trHeight w:val="90" w:hRule="atLeast"/>
        </w:trPr>
        <w:tc>
          <w:tcPr>
            <w:tcW w:w="399" w:type="dxa"/>
            <w:tcBorders>
              <w:top w:val="single" w:color="auto" w:sz="6" w:space="0"/>
              <w:left w:val="single" w:color="auto" w:sz="6" w:space="0"/>
              <w:bottom w:val="single" w:color="auto" w:sz="4" w:space="0"/>
              <w:right w:val="single" w:color="auto" w:sz="6" w:space="0"/>
            </w:tcBorders>
            <w:shd w:val="clear" w:color="auto" w:fill="auto"/>
            <w:tcMar>
              <w:top w:w="0" w:type="dxa"/>
              <w:left w:w="0" w:type="dxa"/>
              <w:bottom w:w="0" w:type="dxa"/>
              <w:right w:w="0" w:type="dxa"/>
            </w:tcMar>
            <w:vAlign w:val="center"/>
          </w:tcPr>
          <w:p w14:paraId="4A6B5694">
            <w:pPr>
              <w:pStyle w:val="3"/>
              <w:widowControl/>
              <w:spacing w:beforeAutospacing="0" w:afterAutospacing="0" w:line="300" w:lineRule="atLeast"/>
              <w:jc w:val="center"/>
            </w:pPr>
            <w:r>
              <w:rPr>
                <w:rStyle w:val="6"/>
                <w:rFonts w:hint="eastAsia" w:ascii="宋体" w:hAnsi="宋体" w:eastAsia="宋体" w:cs="宋体"/>
                <w:color w:val="000000"/>
                <w:sz w:val="18"/>
                <w:szCs w:val="18"/>
              </w:rPr>
              <w:t>序号</w:t>
            </w:r>
          </w:p>
        </w:tc>
        <w:tc>
          <w:tcPr>
            <w:tcW w:w="389" w:type="dxa"/>
            <w:tcBorders>
              <w:top w:val="single" w:color="auto" w:sz="6" w:space="0"/>
              <w:left w:val="nil"/>
              <w:bottom w:val="single" w:color="auto" w:sz="4" w:space="0"/>
              <w:right w:val="single" w:color="auto" w:sz="6" w:space="0"/>
            </w:tcBorders>
            <w:shd w:val="clear" w:color="auto" w:fill="auto"/>
            <w:tcMar>
              <w:top w:w="0" w:type="dxa"/>
              <w:left w:w="0" w:type="dxa"/>
              <w:bottom w:w="0" w:type="dxa"/>
              <w:right w:w="0" w:type="dxa"/>
            </w:tcMar>
            <w:vAlign w:val="center"/>
          </w:tcPr>
          <w:p w14:paraId="3C8903E9">
            <w:pPr>
              <w:pStyle w:val="3"/>
              <w:widowControl/>
              <w:spacing w:beforeAutospacing="0" w:afterAutospacing="0" w:line="300" w:lineRule="atLeast"/>
              <w:jc w:val="center"/>
            </w:pPr>
            <w:r>
              <w:rPr>
                <w:rStyle w:val="6"/>
                <w:rFonts w:hint="eastAsia" w:ascii="宋体" w:hAnsi="宋体" w:eastAsia="宋体" w:cs="宋体"/>
                <w:color w:val="000000"/>
                <w:sz w:val="18"/>
                <w:szCs w:val="18"/>
              </w:rPr>
              <w:t>建设</w:t>
            </w:r>
          </w:p>
          <w:p w14:paraId="30286E85">
            <w:pPr>
              <w:pStyle w:val="3"/>
              <w:widowControl/>
              <w:spacing w:beforeAutospacing="0" w:afterAutospacing="0" w:line="300" w:lineRule="atLeast"/>
              <w:jc w:val="center"/>
            </w:pPr>
            <w:r>
              <w:rPr>
                <w:rStyle w:val="6"/>
                <w:rFonts w:hint="eastAsia" w:ascii="宋体" w:hAnsi="宋体" w:eastAsia="宋体" w:cs="宋体"/>
                <w:color w:val="000000"/>
                <w:sz w:val="18"/>
                <w:szCs w:val="18"/>
              </w:rPr>
              <w:t>单位</w:t>
            </w:r>
          </w:p>
        </w:tc>
        <w:tc>
          <w:tcPr>
            <w:tcW w:w="997" w:type="dxa"/>
            <w:tcBorders>
              <w:top w:val="single" w:color="auto" w:sz="6" w:space="0"/>
              <w:left w:val="nil"/>
              <w:bottom w:val="single" w:color="auto" w:sz="4" w:space="0"/>
              <w:right w:val="single" w:color="auto" w:sz="6" w:space="0"/>
            </w:tcBorders>
            <w:shd w:val="clear" w:color="auto" w:fill="auto"/>
            <w:tcMar>
              <w:top w:w="0" w:type="dxa"/>
              <w:left w:w="0" w:type="dxa"/>
              <w:bottom w:w="0" w:type="dxa"/>
              <w:right w:w="0" w:type="dxa"/>
            </w:tcMar>
            <w:vAlign w:val="center"/>
          </w:tcPr>
          <w:p w14:paraId="7E8BB7E7">
            <w:pPr>
              <w:pStyle w:val="3"/>
              <w:widowControl/>
              <w:spacing w:beforeAutospacing="0" w:afterAutospacing="0" w:line="300" w:lineRule="atLeast"/>
              <w:jc w:val="center"/>
            </w:pPr>
            <w:r>
              <w:rPr>
                <w:rStyle w:val="6"/>
                <w:rFonts w:hint="eastAsia" w:ascii="宋体" w:hAnsi="宋体" w:eastAsia="宋体" w:cs="宋体"/>
                <w:color w:val="000000"/>
                <w:sz w:val="18"/>
                <w:szCs w:val="18"/>
              </w:rPr>
              <w:t>项目</w:t>
            </w:r>
          </w:p>
          <w:p w14:paraId="7F0822BE">
            <w:pPr>
              <w:pStyle w:val="3"/>
              <w:widowControl/>
              <w:spacing w:beforeAutospacing="0" w:afterAutospacing="0" w:line="300" w:lineRule="atLeast"/>
              <w:jc w:val="center"/>
            </w:pPr>
            <w:r>
              <w:rPr>
                <w:rStyle w:val="6"/>
                <w:rFonts w:hint="eastAsia" w:ascii="宋体" w:hAnsi="宋体" w:eastAsia="宋体" w:cs="宋体"/>
                <w:color w:val="000000"/>
                <w:sz w:val="18"/>
                <w:szCs w:val="18"/>
              </w:rPr>
              <w:t>名称</w:t>
            </w:r>
          </w:p>
        </w:tc>
        <w:tc>
          <w:tcPr>
            <w:tcW w:w="1103" w:type="dxa"/>
            <w:tcBorders>
              <w:top w:val="single" w:color="auto" w:sz="6" w:space="0"/>
              <w:left w:val="nil"/>
              <w:bottom w:val="single" w:color="auto" w:sz="4" w:space="0"/>
              <w:right w:val="single" w:color="auto" w:sz="6" w:space="0"/>
            </w:tcBorders>
            <w:shd w:val="clear" w:color="auto" w:fill="auto"/>
            <w:tcMar>
              <w:top w:w="0" w:type="dxa"/>
              <w:left w:w="0" w:type="dxa"/>
              <w:bottom w:w="0" w:type="dxa"/>
              <w:right w:w="0" w:type="dxa"/>
            </w:tcMar>
            <w:vAlign w:val="center"/>
          </w:tcPr>
          <w:p w14:paraId="05EA3DE2">
            <w:pPr>
              <w:pStyle w:val="3"/>
              <w:widowControl/>
              <w:spacing w:beforeAutospacing="0" w:afterAutospacing="0" w:line="300" w:lineRule="atLeast"/>
              <w:jc w:val="center"/>
            </w:pPr>
            <w:r>
              <w:rPr>
                <w:rStyle w:val="6"/>
                <w:rFonts w:hint="eastAsia" w:ascii="宋体" w:hAnsi="宋体" w:eastAsia="宋体" w:cs="宋体"/>
                <w:color w:val="000000"/>
                <w:sz w:val="18"/>
                <w:szCs w:val="18"/>
              </w:rPr>
              <w:t>建设</w:t>
            </w:r>
          </w:p>
          <w:p w14:paraId="62603EDB">
            <w:pPr>
              <w:pStyle w:val="3"/>
              <w:widowControl/>
              <w:spacing w:beforeAutospacing="0" w:afterAutospacing="0" w:line="300" w:lineRule="atLeast"/>
              <w:jc w:val="center"/>
            </w:pPr>
            <w:r>
              <w:rPr>
                <w:rStyle w:val="6"/>
                <w:rFonts w:hint="eastAsia" w:ascii="宋体" w:hAnsi="宋体" w:eastAsia="宋体" w:cs="宋体"/>
                <w:color w:val="000000"/>
                <w:sz w:val="18"/>
                <w:szCs w:val="18"/>
              </w:rPr>
              <w:t>地点</w:t>
            </w:r>
          </w:p>
        </w:tc>
        <w:tc>
          <w:tcPr>
            <w:tcW w:w="714" w:type="dxa"/>
            <w:tcBorders>
              <w:top w:val="single" w:color="auto" w:sz="6" w:space="0"/>
              <w:left w:val="nil"/>
              <w:bottom w:val="single" w:color="auto" w:sz="4" w:space="0"/>
              <w:right w:val="single" w:color="auto" w:sz="6" w:space="0"/>
            </w:tcBorders>
            <w:shd w:val="clear" w:color="auto" w:fill="auto"/>
            <w:tcMar>
              <w:top w:w="0" w:type="dxa"/>
              <w:left w:w="0" w:type="dxa"/>
              <w:bottom w:w="0" w:type="dxa"/>
              <w:right w:w="0" w:type="dxa"/>
            </w:tcMar>
            <w:vAlign w:val="center"/>
          </w:tcPr>
          <w:p w14:paraId="6D1630E2">
            <w:pPr>
              <w:pStyle w:val="3"/>
              <w:widowControl/>
              <w:spacing w:beforeAutospacing="0" w:afterAutospacing="0" w:line="300" w:lineRule="atLeast"/>
              <w:jc w:val="center"/>
            </w:pPr>
            <w:r>
              <w:rPr>
                <w:rStyle w:val="6"/>
                <w:rFonts w:hint="eastAsia" w:ascii="宋体" w:hAnsi="宋体" w:eastAsia="宋体" w:cs="宋体"/>
                <w:color w:val="000000"/>
                <w:sz w:val="18"/>
                <w:szCs w:val="18"/>
                <w:shd w:val="clear" w:color="auto" w:fill="FFFFFF"/>
              </w:rPr>
              <w:t>环境影响评价机构</w:t>
            </w:r>
          </w:p>
        </w:tc>
        <w:tc>
          <w:tcPr>
            <w:tcW w:w="860" w:type="dxa"/>
            <w:tcBorders>
              <w:top w:val="single" w:color="auto" w:sz="6" w:space="0"/>
              <w:left w:val="nil"/>
              <w:bottom w:val="single" w:color="auto" w:sz="4" w:space="0"/>
              <w:right w:val="single" w:color="auto" w:sz="6" w:space="0"/>
            </w:tcBorders>
            <w:shd w:val="clear" w:color="auto" w:fill="auto"/>
            <w:tcMar>
              <w:top w:w="0" w:type="dxa"/>
              <w:left w:w="0" w:type="dxa"/>
              <w:bottom w:w="0" w:type="dxa"/>
              <w:right w:w="0" w:type="dxa"/>
            </w:tcMar>
            <w:vAlign w:val="center"/>
          </w:tcPr>
          <w:p w14:paraId="0D7BEF97">
            <w:pPr>
              <w:pStyle w:val="3"/>
              <w:widowControl/>
              <w:spacing w:beforeAutospacing="0" w:afterAutospacing="0" w:line="300" w:lineRule="atLeast"/>
              <w:jc w:val="center"/>
            </w:pPr>
            <w:r>
              <w:rPr>
                <w:rStyle w:val="6"/>
                <w:rFonts w:hint="eastAsia" w:ascii="宋体" w:hAnsi="宋体" w:eastAsia="宋体" w:cs="宋体"/>
                <w:color w:val="000000"/>
                <w:sz w:val="18"/>
                <w:szCs w:val="18"/>
                <w:shd w:val="clear" w:color="auto" w:fill="FFFFFF"/>
              </w:rPr>
              <w:t>建设项目</w:t>
            </w:r>
          </w:p>
          <w:p w14:paraId="2DE72757">
            <w:pPr>
              <w:pStyle w:val="3"/>
              <w:widowControl/>
              <w:spacing w:beforeAutospacing="0" w:afterAutospacing="0" w:line="300" w:lineRule="atLeast"/>
              <w:jc w:val="center"/>
            </w:pPr>
            <w:r>
              <w:rPr>
                <w:rStyle w:val="6"/>
                <w:rFonts w:hint="eastAsia" w:ascii="宋体" w:hAnsi="宋体" w:eastAsia="宋体" w:cs="宋体"/>
                <w:color w:val="000000"/>
                <w:sz w:val="18"/>
                <w:szCs w:val="18"/>
                <w:shd w:val="clear" w:color="auto" w:fill="FFFFFF"/>
              </w:rPr>
              <w:t>概况</w:t>
            </w:r>
          </w:p>
        </w:tc>
        <w:tc>
          <w:tcPr>
            <w:tcW w:w="3653" w:type="dxa"/>
            <w:tcBorders>
              <w:top w:val="single" w:color="auto" w:sz="6" w:space="0"/>
              <w:left w:val="nil"/>
              <w:bottom w:val="single" w:color="auto" w:sz="4" w:space="0"/>
              <w:right w:val="single" w:color="auto" w:sz="6" w:space="0"/>
            </w:tcBorders>
            <w:shd w:val="clear" w:color="auto" w:fill="auto"/>
            <w:tcMar>
              <w:top w:w="0" w:type="dxa"/>
              <w:left w:w="0" w:type="dxa"/>
              <w:bottom w:w="0" w:type="dxa"/>
              <w:right w:w="0" w:type="dxa"/>
            </w:tcMar>
            <w:vAlign w:val="center"/>
          </w:tcPr>
          <w:p w14:paraId="168E59E6">
            <w:pPr>
              <w:pStyle w:val="3"/>
              <w:widowControl/>
              <w:spacing w:beforeAutospacing="0" w:afterAutospacing="0" w:line="300" w:lineRule="atLeast"/>
              <w:jc w:val="center"/>
            </w:pPr>
            <w:r>
              <w:rPr>
                <w:rStyle w:val="6"/>
                <w:rFonts w:hint="eastAsia" w:ascii="宋体" w:hAnsi="宋体" w:eastAsia="宋体" w:cs="宋体"/>
                <w:color w:val="000000"/>
                <w:sz w:val="18"/>
                <w:szCs w:val="18"/>
                <w:shd w:val="clear" w:color="auto" w:fill="FFFFFF"/>
              </w:rPr>
              <w:t>主要环境影响及预防或减轻不良环境影响的对策和措施</w:t>
            </w:r>
          </w:p>
        </w:tc>
      </w:tr>
      <w:tr w14:paraId="5F3322A4">
        <w:tblPrEx>
          <w:tblCellMar>
            <w:top w:w="15" w:type="dxa"/>
            <w:left w:w="15" w:type="dxa"/>
            <w:bottom w:w="15" w:type="dxa"/>
            <w:right w:w="15" w:type="dxa"/>
          </w:tblCellMar>
        </w:tblPrEx>
        <w:trPr>
          <w:trHeight w:val="90" w:hRule="atLeast"/>
        </w:trPr>
        <w:tc>
          <w:tcPr>
            <w:tcW w:w="399" w:type="dxa"/>
            <w:tcBorders>
              <w:top w:val="single" w:color="auto" w:sz="4" w:space="0"/>
              <w:left w:val="single" w:color="auto" w:sz="4" w:space="0"/>
              <w:bottom w:val="single" w:color="auto" w:sz="4" w:space="0"/>
              <w:right w:val="single" w:color="auto" w:sz="6" w:space="0"/>
            </w:tcBorders>
            <w:shd w:val="clear" w:color="auto" w:fill="auto"/>
            <w:tcMar>
              <w:top w:w="0" w:type="dxa"/>
              <w:left w:w="0" w:type="dxa"/>
              <w:bottom w:w="0" w:type="dxa"/>
              <w:right w:w="0" w:type="dxa"/>
            </w:tcMar>
            <w:vAlign w:val="center"/>
          </w:tcPr>
          <w:p w14:paraId="3A898CFE">
            <w:pPr>
              <w:pStyle w:val="3"/>
              <w:widowControl/>
              <w:spacing w:beforeAutospacing="0" w:afterAutospacing="0" w:line="300" w:lineRule="atLeast"/>
              <w:jc w:val="center"/>
              <w:rPr>
                <w:rFonts w:ascii="Times New Roman" w:hAnsi="Times New Roman"/>
                <w:color w:val="000000"/>
                <w:sz w:val="18"/>
                <w:szCs w:val="18"/>
              </w:rPr>
            </w:pPr>
            <w:r>
              <w:rPr>
                <w:rFonts w:hint="eastAsia" w:ascii="Times New Roman" w:hAnsi="Times New Roman"/>
                <w:color w:val="000000"/>
                <w:sz w:val="18"/>
                <w:szCs w:val="18"/>
              </w:rPr>
              <w:t>1.</w:t>
            </w:r>
          </w:p>
        </w:tc>
        <w:tc>
          <w:tcPr>
            <w:tcW w:w="389" w:type="dxa"/>
            <w:tcBorders>
              <w:top w:val="single" w:color="auto" w:sz="4" w:space="0"/>
              <w:left w:val="nil"/>
              <w:bottom w:val="single" w:color="auto" w:sz="4" w:space="0"/>
              <w:right w:val="single" w:color="auto" w:sz="6" w:space="0"/>
            </w:tcBorders>
            <w:shd w:val="clear" w:color="auto" w:fill="auto"/>
            <w:tcMar>
              <w:top w:w="0" w:type="dxa"/>
              <w:left w:w="0" w:type="dxa"/>
              <w:bottom w:w="0" w:type="dxa"/>
              <w:right w:w="0" w:type="dxa"/>
            </w:tcMar>
            <w:vAlign w:val="center"/>
          </w:tcPr>
          <w:p w14:paraId="7EB62015">
            <w:pPr>
              <w:pStyle w:val="3"/>
              <w:widowControl/>
              <w:spacing w:beforeAutospacing="0" w:afterAutospacing="0" w:line="300" w:lineRule="atLeast"/>
              <w:jc w:val="center"/>
              <w:rPr>
                <w:rFonts w:ascii="Times New Roman" w:hAnsi="Times New Roman"/>
                <w:color w:val="000000"/>
                <w:sz w:val="18"/>
                <w:szCs w:val="18"/>
              </w:rPr>
            </w:pPr>
            <w:r>
              <w:rPr>
                <w:rFonts w:hint="eastAsia" w:ascii="Times New Roman" w:hAnsi="Times New Roman"/>
                <w:color w:val="000000"/>
                <w:sz w:val="18"/>
                <w:szCs w:val="18"/>
              </w:rPr>
              <w:t>河南京宏新材料科技有限公</w:t>
            </w:r>
          </w:p>
          <w:p w14:paraId="4A69E7BE">
            <w:pPr>
              <w:pStyle w:val="3"/>
              <w:widowControl/>
              <w:spacing w:beforeAutospacing="0" w:afterAutospacing="0" w:line="300" w:lineRule="atLeast"/>
              <w:jc w:val="center"/>
              <w:rPr>
                <w:rFonts w:ascii="Times New Roman" w:hAnsi="Times New Roman"/>
                <w:color w:val="000000"/>
                <w:sz w:val="18"/>
                <w:szCs w:val="18"/>
              </w:rPr>
            </w:pPr>
          </w:p>
        </w:tc>
        <w:tc>
          <w:tcPr>
            <w:tcW w:w="997" w:type="dxa"/>
            <w:tcBorders>
              <w:top w:val="single" w:color="auto" w:sz="4" w:space="0"/>
              <w:left w:val="nil"/>
              <w:bottom w:val="single" w:color="auto" w:sz="4" w:space="0"/>
              <w:right w:val="single" w:color="auto" w:sz="6" w:space="0"/>
            </w:tcBorders>
            <w:shd w:val="clear" w:color="auto" w:fill="auto"/>
            <w:tcMar>
              <w:top w:w="0" w:type="dxa"/>
              <w:left w:w="0" w:type="dxa"/>
              <w:bottom w:w="0" w:type="dxa"/>
              <w:right w:w="0" w:type="dxa"/>
            </w:tcMar>
            <w:vAlign w:val="center"/>
          </w:tcPr>
          <w:p w14:paraId="21C5A1FC">
            <w:pPr>
              <w:pStyle w:val="3"/>
              <w:widowControl/>
              <w:spacing w:beforeAutospacing="0" w:afterAutospacing="0" w:line="300" w:lineRule="atLeast"/>
              <w:jc w:val="center"/>
              <w:rPr>
                <w:rFonts w:ascii="Times New Roman" w:hAnsi="Times New Roman"/>
                <w:color w:val="000000"/>
                <w:sz w:val="18"/>
                <w:szCs w:val="18"/>
              </w:rPr>
            </w:pPr>
            <w:r>
              <w:rPr>
                <w:rFonts w:hint="eastAsia" w:ascii="Times New Roman" w:hAnsi="Times New Roman"/>
                <w:color w:val="000000"/>
                <w:sz w:val="18"/>
                <w:szCs w:val="18"/>
              </w:rPr>
              <w:t>司年产32万立方米橡塑海棉制品建设项目</w:t>
            </w:r>
          </w:p>
        </w:tc>
        <w:tc>
          <w:tcPr>
            <w:tcW w:w="1103" w:type="dxa"/>
            <w:tcBorders>
              <w:top w:val="single" w:color="auto" w:sz="4" w:space="0"/>
              <w:left w:val="nil"/>
              <w:bottom w:val="single" w:color="auto" w:sz="4" w:space="0"/>
              <w:right w:val="single" w:color="auto" w:sz="6" w:space="0"/>
            </w:tcBorders>
            <w:shd w:val="clear" w:color="auto" w:fill="auto"/>
            <w:tcMar>
              <w:top w:w="0" w:type="dxa"/>
              <w:left w:w="0" w:type="dxa"/>
              <w:bottom w:w="0" w:type="dxa"/>
              <w:right w:w="0" w:type="dxa"/>
            </w:tcMar>
            <w:vAlign w:val="center"/>
          </w:tcPr>
          <w:p w14:paraId="03A0EC25">
            <w:pPr>
              <w:pStyle w:val="3"/>
              <w:widowControl/>
              <w:spacing w:beforeAutospacing="0" w:afterAutospacing="0" w:line="300" w:lineRule="atLeast"/>
              <w:jc w:val="center"/>
              <w:rPr>
                <w:rFonts w:ascii="Times New Roman" w:hAnsi="Times New Roman"/>
                <w:color w:val="000000"/>
                <w:sz w:val="18"/>
                <w:szCs w:val="18"/>
              </w:rPr>
            </w:pPr>
            <w:r>
              <w:rPr>
                <w:rFonts w:hint="eastAsia" w:ascii="Times New Roman" w:hAnsi="Times New Roman"/>
                <w:color w:val="000000"/>
                <w:sz w:val="18"/>
                <w:szCs w:val="18"/>
                <w:lang w:val="en-US" w:eastAsia="zh-CN"/>
              </w:rPr>
              <w:t>滑县先进制造业开发区珠江路与白马路交叉口东南角天骏工业园南区一号标准厂房</w:t>
            </w:r>
          </w:p>
        </w:tc>
        <w:tc>
          <w:tcPr>
            <w:tcW w:w="714" w:type="dxa"/>
            <w:tcBorders>
              <w:top w:val="single" w:color="auto" w:sz="4" w:space="0"/>
              <w:left w:val="nil"/>
              <w:bottom w:val="single" w:color="auto" w:sz="4" w:space="0"/>
              <w:right w:val="single" w:color="auto" w:sz="6" w:space="0"/>
            </w:tcBorders>
            <w:shd w:val="clear" w:color="auto" w:fill="auto"/>
            <w:tcMar>
              <w:top w:w="0" w:type="dxa"/>
              <w:left w:w="0" w:type="dxa"/>
              <w:bottom w:w="0" w:type="dxa"/>
              <w:right w:w="0" w:type="dxa"/>
            </w:tcMar>
            <w:vAlign w:val="center"/>
          </w:tcPr>
          <w:p w14:paraId="703EB121">
            <w:pPr>
              <w:pStyle w:val="3"/>
              <w:widowControl/>
              <w:spacing w:beforeAutospacing="0" w:afterAutospacing="0" w:line="300" w:lineRule="atLeast"/>
              <w:jc w:val="center"/>
              <w:rPr>
                <w:rFonts w:ascii="Times New Roman" w:hAnsi="Times New Roman"/>
                <w:color w:val="000000"/>
                <w:sz w:val="18"/>
                <w:szCs w:val="18"/>
              </w:rPr>
            </w:pPr>
            <w:r>
              <w:rPr>
                <w:rFonts w:hint="eastAsia" w:ascii="Times New Roman" w:hAnsi="Times New Roman"/>
                <w:color w:val="000000"/>
                <w:sz w:val="18"/>
                <w:szCs w:val="18"/>
              </w:rPr>
              <w:t>河南青盟环保科技有限公司</w:t>
            </w:r>
          </w:p>
        </w:tc>
        <w:tc>
          <w:tcPr>
            <w:tcW w:w="860" w:type="dxa"/>
            <w:tcBorders>
              <w:top w:val="single" w:color="auto" w:sz="4" w:space="0"/>
              <w:left w:val="nil"/>
              <w:bottom w:val="single" w:color="auto" w:sz="4" w:space="0"/>
              <w:right w:val="single" w:color="auto" w:sz="6" w:space="0"/>
            </w:tcBorders>
            <w:shd w:val="clear" w:color="auto" w:fill="auto"/>
            <w:tcMar>
              <w:top w:w="0" w:type="dxa"/>
              <w:left w:w="0" w:type="dxa"/>
              <w:bottom w:w="0" w:type="dxa"/>
              <w:right w:w="0" w:type="dxa"/>
            </w:tcMar>
            <w:vAlign w:val="center"/>
          </w:tcPr>
          <w:p w14:paraId="328A543A">
            <w:pPr>
              <w:pStyle w:val="3"/>
              <w:widowControl/>
              <w:spacing w:beforeAutospacing="0" w:afterAutospacing="0" w:line="300" w:lineRule="atLeast"/>
              <w:jc w:val="center"/>
              <w:rPr>
                <w:rFonts w:ascii="Times New Roman" w:hAnsi="Times New Roman"/>
                <w:color w:val="000000"/>
                <w:sz w:val="18"/>
                <w:szCs w:val="18"/>
              </w:rPr>
            </w:pPr>
            <w:r>
              <w:rPr>
                <w:rFonts w:hint="eastAsia" w:ascii="Times New Roman" w:hAnsi="Times New Roman"/>
                <w:color w:val="000000"/>
                <w:sz w:val="18"/>
                <w:szCs w:val="18"/>
                <w:lang w:val="en-US" w:eastAsia="zh-CN"/>
              </w:rPr>
              <w:t>占地面积为6400m</w:t>
            </w:r>
            <w:r>
              <w:rPr>
                <w:rFonts w:hint="eastAsia" w:ascii="Times New Roman" w:hAnsi="Times New Roman"/>
                <w:color w:val="000000"/>
                <w:sz w:val="18"/>
                <w:szCs w:val="18"/>
                <w:vertAlign w:val="superscript"/>
                <w:lang w:val="en-US" w:eastAsia="zh-CN"/>
              </w:rPr>
              <w:t>2</w:t>
            </w:r>
            <w:r>
              <w:rPr>
                <w:rFonts w:hint="eastAsia" w:ascii="Times New Roman" w:hAnsi="Times New Roman"/>
                <w:color w:val="000000"/>
                <w:sz w:val="18"/>
                <w:szCs w:val="18"/>
                <w:lang w:val="en-US" w:eastAsia="zh-CN"/>
              </w:rPr>
              <w:t>，</w:t>
            </w:r>
            <w:r>
              <w:rPr>
                <w:rFonts w:ascii="Times New Roman" w:hAnsi="Times New Roman"/>
                <w:color w:val="000000"/>
                <w:sz w:val="18"/>
                <w:szCs w:val="18"/>
              </w:rPr>
              <w:t>总投资</w:t>
            </w:r>
            <w:r>
              <w:rPr>
                <w:rFonts w:hint="eastAsia" w:ascii="Times New Roman" w:hAnsi="Times New Roman"/>
                <w:color w:val="000000"/>
                <w:sz w:val="18"/>
                <w:szCs w:val="18"/>
                <w:lang w:val="en-US" w:eastAsia="zh-CN"/>
              </w:rPr>
              <w:t>3600</w:t>
            </w:r>
            <w:r>
              <w:rPr>
                <w:rFonts w:ascii="Times New Roman" w:hAnsi="Times New Roman"/>
                <w:color w:val="000000"/>
                <w:sz w:val="18"/>
                <w:szCs w:val="18"/>
              </w:rPr>
              <w:t>万元，环保投资</w:t>
            </w:r>
            <w:r>
              <w:rPr>
                <w:rFonts w:hint="eastAsia" w:ascii="Times New Roman" w:hAnsi="Times New Roman"/>
                <w:color w:val="000000"/>
                <w:sz w:val="18"/>
                <w:szCs w:val="18"/>
                <w:lang w:val="en-US" w:eastAsia="zh-CN"/>
              </w:rPr>
              <w:t>80.2</w:t>
            </w:r>
            <w:r>
              <w:rPr>
                <w:rFonts w:ascii="Times New Roman" w:hAnsi="Times New Roman"/>
                <w:color w:val="000000"/>
                <w:sz w:val="18"/>
                <w:szCs w:val="18"/>
              </w:rPr>
              <w:t>万元。</w:t>
            </w:r>
          </w:p>
        </w:tc>
        <w:tc>
          <w:tcPr>
            <w:tcW w:w="3653" w:type="dxa"/>
            <w:tcBorders>
              <w:top w:val="single" w:color="auto" w:sz="4" w:space="0"/>
              <w:left w:val="nil"/>
              <w:bottom w:val="single" w:color="auto" w:sz="4" w:space="0"/>
              <w:right w:val="single" w:color="auto" w:sz="4" w:space="0"/>
            </w:tcBorders>
            <w:shd w:val="clear" w:color="auto" w:fill="auto"/>
            <w:tcMar>
              <w:top w:w="0" w:type="dxa"/>
              <w:left w:w="0" w:type="dxa"/>
              <w:bottom w:w="0" w:type="dxa"/>
              <w:right w:w="0" w:type="dxa"/>
            </w:tcMar>
            <w:vAlign w:val="center"/>
          </w:tcPr>
          <w:p w14:paraId="78F4095D">
            <w:pPr>
              <w:keepNext w:val="0"/>
              <w:keepLines w:val="0"/>
              <w:widowControl/>
              <w:numPr>
                <w:ilvl w:val="0"/>
                <w:numId w:val="0"/>
              </w:numPr>
              <w:suppressLineNumbers w:val="0"/>
              <w:ind w:leftChars="0" w:firstLine="360" w:firstLineChars="200"/>
              <w:jc w:val="left"/>
              <w:rPr>
                <w:rFonts w:hint="eastAsia" w:ascii="Times New Roman" w:hAnsi="Times New Roman"/>
                <w:color w:val="000000"/>
                <w:sz w:val="18"/>
                <w:szCs w:val="18"/>
              </w:rPr>
            </w:pPr>
            <w:bookmarkStart w:id="0" w:name="OLE_LINK15"/>
            <w:bookmarkStart w:id="1" w:name="OLE_LINK16"/>
            <w:r>
              <w:rPr>
                <w:rFonts w:ascii="Times New Roman" w:hAnsi="Times New Roman"/>
                <w:color w:val="000000"/>
                <w:sz w:val="18"/>
                <w:szCs w:val="18"/>
              </w:rPr>
              <w:t>1.</w:t>
            </w:r>
            <w:r>
              <w:rPr>
                <w:rFonts w:hint="eastAsia" w:ascii="Times New Roman" w:hAnsi="Times New Roman"/>
                <w:color w:val="000000"/>
                <w:sz w:val="18"/>
                <w:szCs w:val="18"/>
              </w:rPr>
              <w:t xml:space="preserve"> </w:t>
            </w:r>
            <w:r>
              <w:rPr>
                <w:rFonts w:ascii="Times New Roman" w:hAnsi="Times New Roman"/>
                <w:color w:val="000000"/>
                <w:sz w:val="18"/>
                <w:szCs w:val="18"/>
              </w:rPr>
              <w:t>废气：</w:t>
            </w:r>
            <w:r>
              <w:rPr>
                <w:rFonts w:hint="eastAsia" w:ascii="Times New Roman" w:hAnsi="Times New Roman"/>
                <w:color w:val="000000"/>
                <w:sz w:val="18"/>
                <w:szCs w:val="18"/>
              </w:rPr>
              <w:t>粉料投料口</w:t>
            </w:r>
            <w:r>
              <w:rPr>
                <w:rFonts w:hint="eastAsia" w:ascii="Times New Roman" w:hAnsi="Times New Roman"/>
                <w:color w:val="000000"/>
                <w:sz w:val="18"/>
                <w:szCs w:val="18"/>
                <w:lang w:val="en-US" w:eastAsia="zh-CN"/>
              </w:rPr>
              <w:t>上方</w:t>
            </w:r>
            <w:r>
              <w:rPr>
                <w:rFonts w:hint="eastAsia" w:ascii="Times New Roman" w:hAnsi="Times New Roman"/>
                <w:color w:val="000000"/>
                <w:sz w:val="18"/>
                <w:szCs w:val="18"/>
              </w:rPr>
              <w:t>设置集气罩</w:t>
            </w:r>
            <w:r>
              <w:rPr>
                <w:rFonts w:hint="eastAsia" w:ascii="Times New Roman" w:hAnsi="Times New Roman"/>
                <w:color w:val="000000"/>
                <w:sz w:val="18"/>
                <w:szCs w:val="18"/>
                <w:lang w:val="en-US" w:eastAsia="zh-CN"/>
              </w:rPr>
              <w:t>收集粉尘，废气经</w:t>
            </w:r>
            <w:r>
              <w:rPr>
                <w:rFonts w:hint="eastAsia" w:ascii="Times New Roman" w:hAnsi="Times New Roman"/>
                <w:color w:val="000000"/>
                <w:sz w:val="18"/>
                <w:szCs w:val="18"/>
              </w:rPr>
              <w:t>袋式除尘器处理后</w:t>
            </w:r>
            <w:r>
              <w:rPr>
                <w:rFonts w:hint="eastAsia" w:ascii="Times New Roman" w:hAnsi="Times New Roman"/>
                <w:color w:val="000000"/>
                <w:sz w:val="18"/>
                <w:szCs w:val="18"/>
                <w:lang w:val="en-US" w:eastAsia="zh-CN"/>
              </w:rPr>
              <w:t>通过</w:t>
            </w:r>
            <w:r>
              <w:rPr>
                <w:rFonts w:hint="eastAsia" w:ascii="Times New Roman" w:hAnsi="Times New Roman"/>
                <w:color w:val="000000"/>
                <w:sz w:val="18"/>
                <w:szCs w:val="18"/>
              </w:rPr>
              <w:t>15m高排气筒</w:t>
            </w:r>
            <w:r>
              <w:rPr>
                <w:rFonts w:hint="eastAsia" w:ascii="Times New Roman" w:hAnsi="Times New Roman"/>
                <w:color w:val="000000"/>
                <w:sz w:val="18"/>
                <w:szCs w:val="18"/>
                <w:lang w:val="en-US" w:eastAsia="zh-CN"/>
              </w:rPr>
              <w:t>排放</w:t>
            </w:r>
            <w:r>
              <w:rPr>
                <w:rFonts w:hint="eastAsia" w:ascii="Times New Roman" w:hAnsi="Times New Roman"/>
                <w:color w:val="000000"/>
                <w:sz w:val="18"/>
                <w:szCs w:val="18"/>
              </w:rPr>
              <w:t>；密炼机、开炼机二次封闭，废气经负压集气收集后，</w:t>
            </w:r>
            <w:r>
              <w:rPr>
                <w:rFonts w:hint="eastAsia" w:ascii="Times New Roman" w:hAnsi="Times New Roman"/>
                <w:color w:val="000000"/>
                <w:sz w:val="18"/>
                <w:szCs w:val="18"/>
                <w:lang w:val="en-US" w:eastAsia="zh-CN"/>
              </w:rPr>
              <w:t>由</w:t>
            </w:r>
            <w:r>
              <w:rPr>
                <w:rFonts w:hint="eastAsia" w:ascii="Times New Roman" w:hAnsi="Times New Roman"/>
                <w:color w:val="000000"/>
                <w:sz w:val="18"/>
                <w:szCs w:val="18"/>
                <w:lang w:eastAsia="zh-CN"/>
              </w:rPr>
              <w:t>“</w:t>
            </w:r>
            <w:r>
              <w:rPr>
                <w:rFonts w:hint="eastAsia" w:ascii="Times New Roman" w:hAnsi="Times New Roman"/>
                <w:color w:val="000000"/>
                <w:sz w:val="18"/>
                <w:szCs w:val="18"/>
              </w:rPr>
              <w:t>喷淋塔+除湿器+二级活性炭吸附装置</w:t>
            </w:r>
            <w:r>
              <w:rPr>
                <w:rFonts w:hint="eastAsia" w:ascii="Times New Roman" w:hAnsi="Times New Roman"/>
                <w:color w:val="000000"/>
                <w:sz w:val="18"/>
                <w:szCs w:val="18"/>
                <w:lang w:eastAsia="zh-CN"/>
              </w:rPr>
              <w:t>”</w:t>
            </w:r>
            <w:r>
              <w:rPr>
                <w:rFonts w:hint="eastAsia" w:ascii="Times New Roman" w:hAnsi="Times New Roman"/>
                <w:color w:val="000000"/>
                <w:sz w:val="18"/>
                <w:szCs w:val="18"/>
              </w:rPr>
              <w:t>处理后</w:t>
            </w:r>
            <w:r>
              <w:rPr>
                <w:rFonts w:hint="eastAsia" w:ascii="Times New Roman" w:hAnsi="Times New Roman"/>
                <w:color w:val="000000"/>
                <w:sz w:val="18"/>
                <w:szCs w:val="18"/>
                <w:lang w:eastAsia="zh-CN"/>
              </w:rPr>
              <w:t>通过15m高排气筒排放</w:t>
            </w:r>
            <w:r>
              <w:rPr>
                <w:rFonts w:hint="eastAsia" w:ascii="Times New Roman" w:hAnsi="Times New Roman"/>
                <w:color w:val="000000"/>
                <w:sz w:val="18"/>
                <w:szCs w:val="18"/>
              </w:rPr>
              <w:t>；挤出机、硫化炉二次封闭，危废间设置废气收集管道，废气经负压集气收集</w:t>
            </w:r>
            <w:r>
              <w:rPr>
                <w:rFonts w:hint="eastAsia" w:ascii="Times New Roman" w:hAnsi="Times New Roman"/>
                <w:color w:val="000000"/>
                <w:sz w:val="18"/>
                <w:szCs w:val="18"/>
                <w:lang w:val="en-US" w:eastAsia="zh-CN"/>
              </w:rPr>
              <w:t>后，由“</w:t>
            </w:r>
            <w:r>
              <w:rPr>
                <w:rFonts w:hint="eastAsia" w:ascii="Times New Roman" w:hAnsi="Times New Roman"/>
                <w:color w:val="000000"/>
                <w:sz w:val="18"/>
                <w:szCs w:val="18"/>
              </w:rPr>
              <w:t>喷淋塔+除湿器+电捕焦油器+二级活性炭吸附装置</w:t>
            </w:r>
            <w:r>
              <w:rPr>
                <w:rFonts w:hint="eastAsia" w:ascii="Times New Roman" w:hAnsi="Times New Roman"/>
                <w:color w:val="000000"/>
                <w:sz w:val="18"/>
                <w:szCs w:val="18"/>
                <w:lang w:val="en-US" w:eastAsia="zh-CN"/>
              </w:rPr>
              <w:t>”</w:t>
            </w:r>
            <w:r>
              <w:rPr>
                <w:rFonts w:hint="eastAsia" w:ascii="Times New Roman" w:hAnsi="Times New Roman"/>
                <w:color w:val="000000"/>
                <w:sz w:val="18"/>
                <w:szCs w:val="18"/>
              </w:rPr>
              <w:t>处理后</w:t>
            </w:r>
            <w:r>
              <w:rPr>
                <w:rFonts w:hint="eastAsia" w:ascii="Times New Roman" w:hAnsi="Times New Roman"/>
                <w:color w:val="000000"/>
                <w:sz w:val="18"/>
                <w:szCs w:val="18"/>
                <w:lang w:val="en-US" w:eastAsia="zh-CN"/>
              </w:rPr>
              <w:t>通过</w:t>
            </w:r>
            <w:r>
              <w:rPr>
                <w:rFonts w:hint="eastAsia" w:ascii="Times New Roman" w:hAnsi="Times New Roman"/>
                <w:color w:val="000000"/>
                <w:sz w:val="18"/>
                <w:szCs w:val="18"/>
              </w:rPr>
              <w:t>15m</w:t>
            </w:r>
            <w:r>
              <w:rPr>
                <w:rFonts w:hint="eastAsia" w:ascii="Times New Roman" w:hAnsi="Times New Roman"/>
                <w:color w:val="000000"/>
                <w:sz w:val="18"/>
                <w:szCs w:val="18"/>
                <w:lang w:val="en-US" w:eastAsia="zh-CN"/>
              </w:rPr>
              <w:t>高</w:t>
            </w:r>
            <w:r>
              <w:rPr>
                <w:rFonts w:hint="eastAsia" w:ascii="Times New Roman" w:hAnsi="Times New Roman"/>
                <w:color w:val="000000"/>
                <w:sz w:val="18"/>
                <w:szCs w:val="18"/>
              </w:rPr>
              <w:t>排气筒排放。排放废气</w:t>
            </w:r>
            <w:r>
              <w:rPr>
                <w:rFonts w:hint="eastAsia" w:ascii="Times New Roman" w:hAnsi="Times New Roman"/>
                <w:color w:val="000000"/>
                <w:sz w:val="18"/>
                <w:szCs w:val="18"/>
                <w:lang w:val="en-US" w:eastAsia="zh-CN"/>
              </w:rPr>
              <w:t>须</w:t>
            </w:r>
            <w:r>
              <w:rPr>
                <w:rFonts w:hint="eastAsia" w:ascii="Times New Roman" w:hAnsi="Times New Roman"/>
                <w:color w:val="000000"/>
                <w:sz w:val="18"/>
                <w:szCs w:val="18"/>
              </w:rPr>
              <w:t>满足《橡胶制品工业污染物排放标准》（GB27632-2011）</w:t>
            </w:r>
            <w:r>
              <w:rPr>
                <w:rFonts w:hint="eastAsia" w:ascii="Times New Roman" w:hAnsi="Times New Roman"/>
                <w:color w:val="000000"/>
                <w:sz w:val="18"/>
                <w:szCs w:val="18"/>
                <w:lang w:val="en-US" w:eastAsia="zh-CN"/>
              </w:rPr>
              <w:t>排放限值</w:t>
            </w:r>
            <w:r>
              <w:rPr>
                <w:rFonts w:hint="eastAsia" w:ascii="Times New Roman" w:hAnsi="Times New Roman"/>
                <w:color w:val="000000"/>
                <w:sz w:val="18"/>
                <w:szCs w:val="18"/>
                <w:lang w:eastAsia="zh-CN"/>
              </w:rPr>
              <w:t>、</w:t>
            </w:r>
            <w:r>
              <w:rPr>
                <w:rFonts w:hint="eastAsia" w:ascii="Times New Roman" w:hAnsi="Times New Roman"/>
                <w:color w:val="000000"/>
                <w:sz w:val="18"/>
                <w:szCs w:val="18"/>
              </w:rPr>
              <w:t>《大气污染物综合排放标准》（GB16297-1996）</w:t>
            </w:r>
            <w:r>
              <w:rPr>
                <w:rFonts w:hint="eastAsia" w:ascii="Times New Roman" w:hAnsi="Times New Roman"/>
                <w:color w:val="000000"/>
                <w:sz w:val="18"/>
                <w:szCs w:val="18"/>
                <w:lang w:val="en-US" w:eastAsia="zh-CN"/>
              </w:rPr>
              <w:t>表2二级标准</w:t>
            </w:r>
            <w:r>
              <w:rPr>
                <w:rFonts w:hint="eastAsia" w:ascii="Times New Roman" w:hAnsi="Times New Roman"/>
                <w:color w:val="000000"/>
                <w:sz w:val="18"/>
                <w:szCs w:val="18"/>
                <w:lang w:eastAsia="zh-CN"/>
              </w:rPr>
              <w:t>、</w:t>
            </w:r>
            <w:r>
              <w:rPr>
                <w:rFonts w:hint="eastAsia" w:ascii="Times New Roman" w:hAnsi="Times New Roman"/>
                <w:color w:val="000000"/>
                <w:sz w:val="18"/>
                <w:szCs w:val="18"/>
              </w:rPr>
              <w:t>《恶臭污染物排放标准》（GB14554-93）</w:t>
            </w:r>
            <w:r>
              <w:rPr>
                <w:rFonts w:hint="eastAsia" w:ascii="Times New Roman" w:hAnsi="Times New Roman"/>
                <w:color w:val="000000"/>
                <w:sz w:val="18"/>
                <w:szCs w:val="18"/>
                <w:lang w:val="en-US" w:eastAsia="zh-CN"/>
              </w:rPr>
              <w:t>标准</w:t>
            </w:r>
            <w:r>
              <w:rPr>
                <w:rFonts w:hint="eastAsia" w:ascii="Times New Roman" w:hAnsi="Times New Roman"/>
                <w:color w:val="000000"/>
                <w:sz w:val="18"/>
                <w:szCs w:val="18"/>
                <w:lang w:eastAsia="zh-CN"/>
              </w:rPr>
              <w:t>、</w:t>
            </w:r>
            <w:r>
              <w:rPr>
                <w:rFonts w:hint="eastAsia" w:ascii="Times New Roman" w:hAnsi="Times New Roman"/>
                <w:color w:val="000000"/>
                <w:sz w:val="18"/>
                <w:szCs w:val="18"/>
              </w:rPr>
              <w:t>《挥发性有机物无组织排放控制标准》（GB 37822-2019）限值要求</w:t>
            </w:r>
            <w:r>
              <w:rPr>
                <w:rFonts w:hint="eastAsia" w:ascii="Times New Roman" w:hAnsi="Times New Roman"/>
                <w:color w:val="000000"/>
                <w:sz w:val="18"/>
                <w:szCs w:val="18"/>
                <w:lang w:eastAsia="zh-CN"/>
              </w:rPr>
              <w:t>、</w:t>
            </w:r>
            <w:r>
              <w:rPr>
                <w:rFonts w:ascii="Times New Roman" w:hAnsi="Times New Roman"/>
                <w:color w:val="000000"/>
                <w:sz w:val="18"/>
                <w:szCs w:val="18"/>
              </w:rPr>
              <w:t>《安阳市2019年工业大气污染治理5</w:t>
            </w:r>
            <w:r>
              <w:rPr>
                <w:rFonts w:hint="eastAsia" w:ascii="Times New Roman" w:hAnsi="Times New Roman"/>
                <w:color w:val="000000"/>
                <w:sz w:val="18"/>
                <w:szCs w:val="18"/>
              </w:rPr>
              <w:t>个专项实施方案》（安环攻坚办〔2019〕</w:t>
            </w:r>
            <w:r>
              <w:rPr>
                <w:rFonts w:ascii="Times New Roman" w:hAnsi="Times New Roman"/>
                <w:color w:val="000000"/>
                <w:sz w:val="18"/>
                <w:szCs w:val="18"/>
              </w:rPr>
              <w:t>196号）</w:t>
            </w:r>
            <w:r>
              <w:rPr>
                <w:rFonts w:hint="eastAsia" w:ascii="Times New Roman" w:hAnsi="Times New Roman"/>
                <w:color w:val="000000"/>
                <w:sz w:val="18"/>
                <w:szCs w:val="18"/>
              </w:rPr>
              <w:t>以及《关于全省开展工业企业挥发性有机物专项治理工作中排放建议值的通知》（豫环攻坚办〔2017〕162号）要求。</w:t>
            </w:r>
          </w:p>
          <w:p w14:paraId="1D5AE636">
            <w:pPr>
              <w:keepNext w:val="0"/>
              <w:keepLines w:val="0"/>
              <w:widowControl/>
              <w:numPr>
                <w:ilvl w:val="0"/>
                <w:numId w:val="0"/>
              </w:numPr>
              <w:suppressLineNumbers w:val="0"/>
              <w:ind w:leftChars="0" w:firstLine="360" w:firstLineChars="200"/>
              <w:jc w:val="left"/>
              <w:rPr>
                <w:rFonts w:hint="eastAsia" w:ascii="Times New Roman" w:hAnsi="Times New Roman"/>
                <w:color w:val="000000"/>
                <w:sz w:val="18"/>
                <w:szCs w:val="18"/>
                <w:lang w:eastAsia="zh-CN"/>
              </w:rPr>
            </w:pPr>
            <w:r>
              <w:rPr>
                <w:rFonts w:ascii="Times New Roman" w:hAnsi="Times New Roman"/>
                <w:color w:val="000000"/>
                <w:sz w:val="18"/>
                <w:szCs w:val="18"/>
              </w:rPr>
              <w:t>2.</w:t>
            </w:r>
            <w:r>
              <w:rPr>
                <w:rFonts w:hint="eastAsia" w:ascii="Times New Roman" w:hAnsi="Times New Roman"/>
                <w:color w:val="000000"/>
                <w:sz w:val="18"/>
                <w:szCs w:val="18"/>
              </w:rPr>
              <w:t xml:space="preserve"> </w:t>
            </w:r>
            <w:r>
              <w:rPr>
                <w:rFonts w:ascii="Times New Roman" w:hAnsi="Times New Roman"/>
                <w:color w:val="000000"/>
                <w:sz w:val="18"/>
                <w:szCs w:val="18"/>
              </w:rPr>
              <w:t>废水：</w:t>
            </w:r>
            <w:r>
              <w:rPr>
                <w:rFonts w:hint="eastAsia" w:ascii="Times New Roman" w:hAnsi="Times New Roman"/>
                <w:color w:val="000000"/>
                <w:sz w:val="18"/>
                <w:szCs w:val="18"/>
              </w:rPr>
              <w:t>生活污水依托租赁厂区</w:t>
            </w:r>
            <w:r>
              <w:rPr>
                <w:rFonts w:ascii="Times New Roman" w:hAnsi="Times New Roman"/>
                <w:color w:val="000000"/>
                <w:sz w:val="18"/>
                <w:szCs w:val="18"/>
              </w:rPr>
              <w:t>化粪池处理后，</w:t>
            </w:r>
            <w:r>
              <w:rPr>
                <w:rFonts w:hint="eastAsia" w:ascii="Times New Roman" w:hAnsi="Times New Roman"/>
                <w:color w:val="000000"/>
                <w:sz w:val="18"/>
                <w:szCs w:val="18"/>
              </w:rPr>
              <w:t>经市政管网排入滑县产业集聚区污水处理厂。废水排放满足《污水综合排放标准》（GB8978-1996）表4三级标准要求及滑县产业集聚区污水处理厂收水水质标准。</w:t>
            </w:r>
          </w:p>
          <w:p w14:paraId="4525DCD1">
            <w:pPr>
              <w:keepNext w:val="0"/>
              <w:keepLines w:val="0"/>
              <w:widowControl/>
              <w:numPr>
                <w:ilvl w:val="0"/>
                <w:numId w:val="0"/>
              </w:numPr>
              <w:suppressLineNumbers w:val="0"/>
              <w:ind w:leftChars="0" w:firstLine="360" w:firstLineChars="200"/>
              <w:jc w:val="left"/>
              <w:rPr>
                <w:rFonts w:ascii="Times New Roman" w:hAnsi="Times New Roman"/>
                <w:color w:val="000000"/>
                <w:sz w:val="18"/>
                <w:szCs w:val="18"/>
              </w:rPr>
            </w:pPr>
            <w:r>
              <w:rPr>
                <w:rFonts w:ascii="Times New Roman" w:hAnsi="Times New Roman"/>
                <w:color w:val="000000"/>
                <w:sz w:val="18"/>
                <w:szCs w:val="18"/>
              </w:rPr>
              <w:t>3.</w:t>
            </w:r>
            <w:r>
              <w:rPr>
                <w:rFonts w:hint="eastAsia" w:ascii="Times New Roman" w:hAnsi="Times New Roman"/>
                <w:color w:val="000000"/>
                <w:sz w:val="18"/>
                <w:szCs w:val="18"/>
              </w:rPr>
              <w:t xml:space="preserve"> </w:t>
            </w:r>
            <w:r>
              <w:rPr>
                <w:rFonts w:ascii="Times New Roman" w:hAnsi="Times New Roman"/>
                <w:color w:val="000000"/>
                <w:sz w:val="18"/>
                <w:szCs w:val="18"/>
              </w:rPr>
              <w:t>噪声：</w:t>
            </w:r>
            <w:r>
              <w:rPr>
                <w:rFonts w:hint="eastAsia" w:ascii="Times New Roman" w:hAnsi="Times New Roman"/>
                <w:color w:val="000000"/>
                <w:sz w:val="18"/>
                <w:szCs w:val="18"/>
                <w:lang w:val="en-US" w:eastAsia="zh-CN"/>
              </w:rPr>
              <w:t>密炼机</w:t>
            </w:r>
            <w:r>
              <w:rPr>
                <w:rFonts w:hint="eastAsia" w:ascii="Times New Roman" w:hAnsi="Times New Roman"/>
                <w:color w:val="000000"/>
                <w:sz w:val="18"/>
                <w:szCs w:val="18"/>
              </w:rPr>
              <w:t>、</w:t>
            </w:r>
            <w:r>
              <w:rPr>
                <w:rFonts w:hint="eastAsia" w:ascii="Times New Roman" w:hAnsi="Times New Roman"/>
                <w:color w:val="000000"/>
                <w:sz w:val="18"/>
                <w:szCs w:val="18"/>
                <w:lang w:val="en-US" w:eastAsia="zh-CN"/>
              </w:rPr>
              <w:t>开炼机</w:t>
            </w:r>
            <w:r>
              <w:rPr>
                <w:rFonts w:hint="eastAsia" w:ascii="Times New Roman" w:hAnsi="Times New Roman"/>
                <w:color w:val="000000"/>
                <w:sz w:val="18"/>
                <w:szCs w:val="18"/>
              </w:rPr>
              <w:t>、挤出机等设备运行时产生的噪声，</w:t>
            </w:r>
            <w:r>
              <w:rPr>
                <w:rFonts w:ascii="Times New Roman" w:hAnsi="Times New Roman"/>
                <w:color w:val="000000"/>
                <w:sz w:val="18"/>
                <w:szCs w:val="18"/>
              </w:rPr>
              <w:t>经采取基础减振、厂房隔声、距离衰减等措施后，厂界噪声排放须满足《工业企业厂界环境噪声排放标准》（GB12348-2008）</w:t>
            </w:r>
            <w:r>
              <w:rPr>
                <w:rFonts w:hint="eastAsia" w:ascii="Times New Roman" w:hAnsi="Times New Roman"/>
                <w:color w:val="000000"/>
                <w:sz w:val="18"/>
                <w:szCs w:val="18"/>
                <w:lang w:val="en-US" w:eastAsia="zh-CN"/>
              </w:rPr>
              <w:t>3</w:t>
            </w:r>
            <w:r>
              <w:rPr>
                <w:rFonts w:ascii="Times New Roman" w:hAnsi="Times New Roman"/>
                <w:color w:val="000000"/>
                <w:sz w:val="18"/>
                <w:szCs w:val="18"/>
              </w:rPr>
              <w:t>类标准限值。</w:t>
            </w:r>
          </w:p>
          <w:p w14:paraId="078010E5">
            <w:pPr>
              <w:keepNext w:val="0"/>
              <w:keepLines w:val="0"/>
              <w:widowControl/>
              <w:numPr>
                <w:ilvl w:val="0"/>
                <w:numId w:val="0"/>
              </w:numPr>
              <w:suppressLineNumbers w:val="0"/>
              <w:ind w:leftChars="0" w:firstLine="360" w:firstLineChars="200"/>
              <w:jc w:val="left"/>
              <w:rPr>
                <w:rFonts w:ascii="Times New Roman" w:hAnsi="Times New Roman"/>
                <w:color w:val="000000"/>
                <w:sz w:val="18"/>
                <w:szCs w:val="18"/>
              </w:rPr>
            </w:pPr>
            <w:r>
              <w:rPr>
                <w:rFonts w:ascii="Times New Roman" w:hAnsi="Times New Roman"/>
                <w:color w:val="000000"/>
                <w:sz w:val="18"/>
                <w:szCs w:val="18"/>
              </w:rPr>
              <w:t>4.</w:t>
            </w:r>
            <w:r>
              <w:rPr>
                <w:rFonts w:hint="eastAsia" w:ascii="Times New Roman" w:hAnsi="Times New Roman"/>
                <w:color w:val="000000"/>
                <w:sz w:val="18"/>
                <w:szCs w:val="18"/>
              </w:rPr>
              <w:t xml:space="preserve"> </w:t>
            </w:r>
            <w:r>
              <w:rPr>
                <w:rFonts w:ascii="Times New Roman" w:hAnsi="Times New Roman"/>
                <w:color w:val="000000"/>
                <w:sz w:val="18"/>
                <w:szCs w:val="18"/>
              </w:rPr>
              <w:t>固体废物：</w:t>
            </w:r>
            <w:r>
              <w:rPr>
                <w:rFonts w:hint="eastAsia" w:ascii="Times New Roman" w:hAnsi="Times New Roman"/>
                <w:color w:val="000000"/>
                <w:sz w:val="18"/>
                <w:szCs w:val="18"/>
              </w:rPr>
              <w:t>废边角料、不合格品</w:t>
            </w:r>
            <w:r>
              <w:rPr>
                <w:rFonts w:hint="eastAsia" w:ascii="Times New Roman" w:hAnsi="Times New Roman"/>
                <w:color w:val="000000"/>
                <w:sz w:val="18"/>
                <w:szCs w:val="18"/>
                <w:lang w:eastAsia="zh-CN"/>
              </w:rPr>
              <w:t>、袋式除尘器和车间阻隔收集的粉尘</w:t>
            </w:r>
            <w:r>
              <w:rPr>
                <w:rFonts w:hint="eastAsia" w:ascii="Times New Roman" w:hAnsi="Times New Roman"/>
                <w:color w:val="000000"/>
                <w:sz w:val="18"/>
                <w:szCs w:val="18"/>
                <w:lang w:val="en-US" w:eastAsia="zh-CN"/>
              </w:rPr>
              <w:t>收集后</w:t>
            </w:r>
            <w:r>
              <w:rPr>
                <w:rFonts w:hint="eastAsia" w:ascii="Times New Roman" w:hAnsi="Times New Roman"/>
                <w:color w:val="000000"/>
                <w:sz w:val="18"/>
                <w:szCs w:val="18"/>
              </w:rPr>
              <w:t>回用于生产</w:t>
            </w:r>
            <w:r>
              <w:rPr>
                <w:rFonts w:hint="eastAsia" w:ascii="Times New Roman" w:hAnsi="Times New Roman"/>
                <w:color w:val="000000"/>
                <w:sz w:val="18"/>
                <w:szCs w:val="18"/>
                <w:lang w:eastAsia="zh-CN"/>
              </w:rPr>
              <w:t>，废包装袋（丁腈橡胶、树脂粉、滑石粉、炭黑、氢氧化铝、发泡剂）</w:t>
            </w:r>
            <w:r>
              <w:rPr>
                <w:rFonts w:hint="eastAsia" w:ascii="Times New Roman" w:hAnsi="Times New Roman"/>
                <w:color w:val="000000"/>
                <w:sz w:val="18"/>
                <w:szCs w:val="18"/>
              </w:rPr>
              <w:t>收集后暂存于</w:t>
            </w:r>
            <w:r>
              <w:rPr>
                <w:rFonts w:hint="eastAsia" w:ascii="Times New Roman" w:hAnsi="Times New Roman"/>
                <w:color w:val="000000"/>
                <w:sz w:val="18"/>
                <w:szCs w:val="18"/>
                <w:lang w:val="en-US" w:eastAsia="zh-CN"/>
              </w:rPr>
              <w:t>2</w:t>
            </w:r>
            <w:r>
              <w:rPr>
                <w:rFonts w:ascii="Times New Roman" w:hAnsi="Times New Roman"/>
                <w:color w:val="000000"/>
                <w:sz w:val="18"/>
                <w:szCs w:val="18"/>
              </w:rPr>
              <w:t>0</w:t>
            </w:r>
            <w:r>
              <w:rPr>
                <w:rFonts w:hint="eastAsia" w:ascii="Times New Roman" w:hAnsi="Times New Roman"/>
                <w:color w:val="000000"/>
                <w:sz w:val="18"/>
                <w:szCs w:val="18"/>
                <w:lang w:val="en-US" w:eastAsia="zh-CN"/>
              </w:rPr>
              <w:t>m2</w:t>
            </w:r>
            <w:r>
              <w:rPr>
                <w:rFonts w:hint="eastAsia" w:ascii="Times New Roman" w:hAnsi="Times New Roman"/>
                <w:color w:val="000000"/>
                <w:sz w:val="18"/>
                <w:szCs w:val="18"/>
              </w:rPr>
              <w:t>一般固废间</w:t>
            </w:r>
            <w:r>
              <w:rPr>
                <w:rFonts w:hint="eastAsia" w:ascii="Times New Roman" w:hAnsi="Times New Roman"/>
                <w:color w:val="000000"/>
                <w:sz w:val="18"/>
                <w:szCs w:val="18"/>
                <w:lang w:eastAsia="zh-CN"/>
              </w:rPr>
              <w:t>，</w:t>
            </w:r>
            <w:r>
              <w:rPr>
                <w:rFonts w:hint="eastAsia" w:ascii="Times New Roman" w:hAnsi="Times New Roman"/>
                <w:color w:val="000000"/>
                <w:sz w:val="18"/>
                <w:szCs w:val="18"/>
              </w:rPr>
              <w:t>定期外售</w:t>
            </w:r>
            <w:r>
              <w:rPr>
                <w:rFonts w:hint="eastAsia" w:ascii="Times New Roman" w:hAnsi="Times New Roman"/>
                <w:color w:val="000000"/>
                <w:sz w:val="18"/>
                <w:szCs w:val="18"/>
                <w:lang w:val="en-US" w:eastAsia="zh-CN"/>
              </w:rPr>
              <w:t>综合利用</w:t>
            </w:r>
            <w:r>
              <w:rPr>
                <w:rFonts w:hint="eastAsia" w:ascii="Times New Roman" w:hAnsi="Times New Roman"/>
                <w:color w:val="000000"/>
                <w:sz w:val="18"/>
                <w:szCs w:val="18"/>
              </w:rPr>
              <w:t>；废包装材料（氯化石蜡、硫磺、二辛脂、氢氧化钠等废包装袋和废包装桶）</w:t>
            </w:r>
            <w:r>
              <w:rPr>
                <w:rFonts w:hint="eastAsia" w:ascii="Times New Roman" w:hAnsi="Times New Roman"/>
                <w:color w:val="000000"/>
                <w:sz w:val="18"/>
                <w:szCs w:val="18"/>
                <w:lang w:eastAsia="zh-CN"/>
              </w:rPr>
              <w:t>、喷淋塔底泥、油泥、油水混合物、废活性炭、废机油、</w:t>
            </w:r>
            <w:r>
              <w:rPr>
                <w:rFonts w:hint="eastAsia" w:ascii="Times New Roman" w:hAnsi="Times New Roman"/>
                <w:color w:val="000000"/>
                <w:sz w:val="18"/>
                <w:szCs w:val="18"/>
                <w:lang w:val="en-US" w:eastAsia="zh-CN"/>
              </w:rPr>
              <w:t>废机油桶等危险废物</w:t>
            </w:r>
            <w:r>
              <w:rPr>
                <w:rFonts w:hint="eastAsia" w:ascii="Times New Roman" w:hAnsi="Times New Roman"/>
                <w:color w:val="000000"/>
                <w:sz w:val="18"/>
                <w:szCs w:val="18"/>
              </w:rPr>
              <w:t>采用专用密闭收集桶收集，分类分区暂存于</w:t>
            </w:r>
            <w:r>
              <w:rPr>
                <w:rFonts w:hint="eastAsia" w:ascii="Times New Roman" w:hAnsi="Times New Roman"/>
                <w:color w:val="000000"/>
                <w:sz w:val="18"/>
                <w:szCs w:val="18"/>
                <w:lang w:val="en-US" w:eastAsia="zh-CN"/>
              </w:rPr>
              <w:t>2</w:t>
            </w:r>
            <w:r>
              <w:rPr>
                <w:rFonts w:hint="eastAsia" w:ascii="Times New Roman" w:hAnsi="Times New Roman"/>
                <w:color w:val="000000"/>
                <w:sz w:val="18"/>
                <w:szCs w:val="18"/>
              </w:rPr>
              <w:t>0m2危废</w:t>
            </w:r>
            <w:r>
              <w:rPr>
                <w:rFonts w:hint="eastAsia" w:ascii="Times New Roman" w:hAnsi="Times New Roman"/>
                <w:color w:val="000000"/>
                <w:sz w:val="18"/>
                <w:szCs w:val="18"/>
                <w:lang w:val="en-US" w:eastAsia="zh-CN"/>
              </w:rPr>
              <w:t>暂存</w:t>
            </w:r>
            <w:r>
              <w:rPr>
                <w:rFonts w:hint="eastAsia" w:ascii="Times New Roman" w:hAnsi="Times New Roman"/>
                <w:color w:val="000000"/>
                <w:sz w:val="18"/>
                <w:szCs w:val="18"/>
              </w:rPr>
              <w:t>间</w:t>
            </w:r>
            <w:r>
              <w:rPr>
                <w:rFonts w:ascii="Times New Roman" w:hAnsi="Times New Roman"/>
                <w:color w:val="000000"/>
                <w:sz w:val="18"/>
                <w:szCs w:val="18"/>
              </w:rPr>
              <w:t>，定期交由</w:t>
            </w:r>
            <w:r>
              <w:rPr>
                <w:rFonts w:hint="eastAsia" w:ascii="Times New Roman" w:hAnsi="Times New Roman"/>
                <w:color w:val="000000"/>
                <w:sz w:val="18"/>
                <w:szCs w:val="18"/>
              </w:rPr>
              <w:t>就近</w:t>
            </w:r>
            <w:r>
              <w:rPr>
                <w:rFonts w:ascii="Times New Roman" w:hAnsi="Times New Roman"/>
                <w:color w:val="000000"/>
                <w:sz w:val="18"/>
                <w:szCs w:val="18"/>
              </w:rPr>
              <w:t>有资质单位处理</w:t>
            </w:r>
            <w:r>
              <w:rPr>
                <w:rFonts w:hint="eastAsia" w:ascii="Times New Roman" w:hAnsi="Times New Roman"/>
                <w:color w:val="000000"/>
                <w:sz w:val="18"/>
                <w:szCs w:val="18"/>
                <w:lang w:val="en-US" w:eastAsia="zh-CN"/>
              </w:rPr>
              <w:t>处置</w:t>
            </w:r>
            <w:r>
              <w:rPr>
                <w:rFonts w:ascii="Times New Roman" w:hAnsi="Times New Roman"/>
                <w:color w:val="000000"/>
                <w:sz w:val="18"/>
                <w:szCs w:val="18"/>
              </w:rPr>
              <w:t>；生活垃圾经垃圾桶收集后，交环卫部门统一处理。一般固体废物暂存应满足《一般工业固体废物贮存和填埋污染控制标准》（GB18599 -2020）要求，危险废物暂存应满足《危险废物贮存污染控制标准》（GB18597-2023）要求。</w:t>
            </w:r>
            <w:bookmarkEnd w:id="0"/>
            <w:bookmarkEnd w:id="1"/>
            <w:bookmarkStart w:id="2" w:name="_GoBack"/>
            <w:bookmarkEnd w:id="2"/>
          </w:p>
        </w:tc>
      </w:tr>
    </w:tbl>
    <w:p w14:paraId="4C4935B6">
      <w:pPr>
        <w:pStyle w:val="3"/>
        <w:widowControl/>
        <w:spacing w:beforeAutospacing="0" w:afterAutospacing="0" w:line="300" w:lineRule="atLeast"/>
        <w:jc w:val="center"/>
        <w:rPr>
          <w:rFonts w:ascii="Times New Roman" w:hAnsi="Times New Roman"/>
          <w:color w:val="000000"/>
          <w:sz w:val="18"/>
          <w:szCs w:val="18"/>
        </w:rPr>
      </w:pPr>
    </w:p>
    <w:p w14:paraId="7C68DD3B"/>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A1"/>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小标宋简体">
    <w:panose1 w:val="02010601030101010101"/>
    <w:charset w:val="86"/>
    <w:family w:val="script"/>
    <w:pitch w:val="default"/>
    <w:sig w:usb0="00000001" w:usb1="080E0000" w:usb2="00000000" w:usb3="00000000" w:csb0="00040000" w:csb1="00000000"/>
  </w:font>
  <w:font w:name="sans-serif">
    <w:altName w:val="Segoe Print"/>
    <w:panose1 w:val="00000000000000000000"/>
    <w:charset w:val="00"/>
    <w:family w:val="auto"/>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 w:name="仿宋_GB2312">
    <w:panose1 w:val="02010609030101010101"/>
    <w:charset w:val="86"/>
    <w:family w:val="modern"/>
    <w:pitch w:val="default"/>
    <w:sig w:usb0="00000001" w:usb1="080E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4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1D37E13"/>
    <w:rsid w:val="1C737F5D"/>
    <w:rsid w:val="3FAE641C"/>
    <w:rsid w:val="549E000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qFormat="1"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5">
    <w:name w:val="Default Paragraph Font"/>
    <w:semiHidden/>
    <w:uiPriority w:val="0"/>
  </w:style>
  <w:style w:type="table" w:default="1" w:styleId="4">
    <w:name w:val="Normal Table"/>
    <w:semiHidden/>
    <w:qFormat/>
    <w:uiPriority w:val="0"/>
    <w:tblPr>
      <w:tblCellMar>
        <w:top w:w="0" w:type="dxa"/>
        <w:left w:w="108" w:type="dxa"/>
        <w:bottom w:w="0" w:type="dxa"/>
        <w:right w:w="108" w:type="dxa"/>
      </w:tblCellMar>
    </w:tblPr>
  </w:style>
  <w:style w:type="paragraph" w:styleId="2">
    <w:name w:val="Block Text"/>
    <w:basedOn w:val="1"/>
    <w:next w:val="1"/>
    <w:qFormat/>
    <w:uiPriority w:val="0"/>
    <w:pPr>
      <w:spacing w:line="320" w:lineRule="exact"/>
      <w:ind w:left="113" w:right="113"/>
      <w:jc w:val="center"/>
    </w:pPr>
    <w:rPr>
      <w:b/>
      <w:sz w:val="13"/>
      <w:szCs w:val="15"/>
    </w:rPr>
  </w:style>
  <w:style w:type="paragraph" w:styleId="3">
    <w:name w:val="Normal (Web)"/>
    <w:basedOn w:val="1"/>
    <w:qFormat/>
    <w:uiPriority w:val="0"/>
    <w:pPr>
      <w:spacing w:beforeAutospacing="1" w:afterAutospacing="1"/>
      <w:jc w:val="left"/>
    </w:pPr>
    <w:rPr>
      <w:rFonts w:cs="Times New Roman"/>
      <w:kern w:val="0"/>
      <w:sz w:val="24"/>
    </w:rPr>
  </w:style>
  <w:style w:type="character" w:styleId="6">
    <w:name w:val="Strong"/>
    <w:basedOn w:val="5"/>
    <w:qFormat/>
    <w:uiPriority w:val="0"/>
    <w:rPr>
      <w:b/>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2</Pages>
  <Words>1166</Words>
  <Characters>1325</Characters>
  <Lines>0</Lines>
  <Paragraphs>0</Paragraphs>
  <TotalTime>0</TotalTime>
  <ScaleCrop>false</ScaleCrop>
  <LinksUpToDate>false</LinksUpToDate>
  <CharactersWithSpaces>1334</CharactersWithSpaces>
  <Application>WPS Office_12.1.0.24034_F1E327BC-269C-435d-A152-05C5408002CA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2014-10-29T12:08:00Z</dcterms:created>
  <dc:creator>Lenovo</dc:creator>
  <cp:lastModifiedBy>墨染秋凉</cp:lastModifiedBy>
  <dcterms:modified xsi:type="dcterms:W3CDTF">2026-09-16T20:35:29Z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2052-12.1.0.24034</vt:lpwstr>
  </property>
  <property fmtid="{D5CDD505-2E9C-101B-9397-08002B2CF9AE}" pid="3" name="KSOTemplateDocerSaveRecord">
    <vt:lpwstr>eyJoZGlkIjoiYjBjYTBhZThlNzU1YzE4MTAxZTVkY2IyYzEzZGQxMDYiLCJ1c2VySWQiOiI0MzY3NTg1OTAifQ==</vt:lpwstr>
  </property>
  <property fmtid="{D5CDD505-2E9C-101B-9397-08002B2CF9AE}" pid="4" name="ICV">
    <vt:lpwstr>B5F097A043484BA581BD1FE88BE91772_12</vt:lpwstr>
  </property>
</Properties>
</file>