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15</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15</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6月22</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4"/>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4"/>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7"/>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9"/>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9"/>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9"/>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9"/>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9"/>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A69E7B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滑县源网荷储能源发展</w:t>
            </w:r>
            <w:r>
              <w:rPr>
                <w:rFonts w:hint="eastAsia" w:ascii="Times New Roman" w:hAnsi="Times New Roman"/>
                <w:color w:val="000000"/>
                <w:sz w:val="18"/>
                <w:szCs w:val="18"/>
              </w:rPr>
              <w:t>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安阳中盈化肥源网荷储一体化项目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4"/>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河南省安阳市滑县半坡店镇、焦虎镇、瓦岗寨乡</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eastAsia="zh-CN"/>
              </w:rPr>
              <w:t>青盟环</w:t>
            </w:r>
            <w:r>
              <w:rPr>
                <w:rFonts w:hint="eastAsia" w:ascii="Times New Roman" w:hAnsi="Times New Roman"/>
                <w:color w:val="000000"/>
                <w:sz w:val="18"/>
                <w:szCs w:val="18"/>
              </w:rPr>
              <w:t>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default" w:ascii="Times New Roman" w:hAnsi="Times New Roman"/>
                <w:color w:val="000000"/>
                <w:sz w:val="18"/>
                <w:szCs w:val="18"/>
                <w:lang w:val="en-US" w:eastAsia="zh-CN"/>
              </w:rPr>
              <w:t>34297. 27</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298</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127EB18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2.废气：施工期废气包括施工扬尘和燃油机械废气，其中以施工扬尘污染为主。主要保护措施为施工工地现场围挡定期洒水、裸露黄土及物料覆盖等措施。</w:t>
            </w:r>
          </w:p>
          <w:p w14:paraId="225E37C2">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eastAsia="zh-CN"/>
              </w:rPr>
            </w:pPr>
            <w:r>
              <w:rPr>
                <w:rFonts w:hint="eastAsia" w:ascii="Times New Roman" w:hAnsi="Times New Roman"/>
                <w:color w:val="000000"/>
                <w:sz w:val="18"/>
                <w:szCs w:val="18"/>
                <w:lang w:val="en-US" w:eastAsia="zh-CN"/>
              </w:rPr>
              <w:t>3.废水：</w:t>
            </w:r>
            <w:r>
              <w:rPr>
                <w:rFonts w:hint="eastAsia" w:ascii="Times New Roman" w:hAnsi="Times New Roman"/>
                <w:color w:val="000000"/>
                <w:sz w:val="18"/>
                <w:szCs w:val="18"/>
              </w:rPr>
              <w:t>该项目</w:t>
            </w:r>
            <w:r>
              <w:rPr>
                <w:rFonts w:hint="eastAsia" w:ascii="Times New Roman" w:hAnsi="Times New Roman"/>
                <w:color w:val="000000"/>
                <w:sz w:val="18"/>
                <w:szCs w:val="18"/>
                <w:lang w:val="en-US" w:eastAsia="zh-CN"/>
              </w:rPr>
              <w:t>施工</w:t>
            </w:r>
            <w:r>
              <w:rPr>
                <w:rFonts w:hint="eastAsia" w:ascii="Times New Roman" w:hAnsi="Times New Roman"/>
                <w:color w:val="000000"/>
                <w:sz w:val="18"/>
                <w:szCs w:val="18"/>
              </w:rPr>
              <w:t>期废水主要为</w:t>
            </w:r>
            <w:r>
              <w:rPr>
                <w:rFonts w:hint="eastAsia" w:ascii="Times New Roman" w:hAnsi="Times New Roman"/>
                <w:color w:val="000000"/>
                <w:sz w:val="18"/>
                <w:szCs w:val="18"/>
                <w:lang w:val="en-US" w:eastAsia="zh-CN"/>
              </w:rPr>
              <w:t>施工人员</w:t>
            </w:r>
            <w:r>
              <w:rPr>
                <w:rFonts w:hint="eastAsia" w:ascii="Times New Roman" w:hAnsi="Times New Roman"/>
                <w:color w:val="000000"/>
                <w:sz w:val="18"/>
                <w:szCs w:val="18"/>
                <w:lang w:eastAsia="zh-CN"/>
              </w:rPr>
              <w:t>生活</w:t>
            </w:r>
            <w:r>
              <w:rPr>
                <w:rFonts w:hint="eastAsia" w:ascii="Times New Roman" w:hAnsi="Times New Roman"/>
                <w:color w:val="000000"/>
                <w:sz w:val="18"/>
                <w:szCs w:val="18"/>
                <w:lang w:val="en-US" w:eastAsia="zh-CN"/>
              </w:rPr>
              <w:t>污</w:t>
            </w:r>
            <w:r>
              <w:rPr>
                <w:rFonts w:hint="eastAsia" w:ascii="Times New Roman" w:hAnsi="Times New Roman"/>
                <w:color w:val="000000"/>
                <w:sz w:val="18"/>
                <w:szCs w:val="18"/>
                <w:lang w:eastAsia="zh-CN"/>
              </w:rPr>
              <w:t>水经过化粪池</w:t>
            </w:r>
            <w:r>
              <w:rPr>
                <w:rFonts w:hint="eastAsia" w:ascii="Times New Roman" w:hAnsi="Times New Roman"/>
                <w:color w:val="000000"/>
                <w:sz w:val="18"/>
                <w:szCs w:val="18"/>
                <w:lang w:val="en-US" w:eastAsia="zh-CN"/>
              </w:rPr>
              <w:t>（2m3）</w:t>
            </w:r>
            <w:r>
              <w:rPr>
                <w:rFonts w:hint="eastAsia" w:ascii="Times New Roman" w:hAnsi="Times New Roman"/>
                <w:color w:val="000000"/>
                <w:sz w:val="18"/>
                <w:szCs w:val="18"/>
                <w:lang w:eastAsia="zh-CN"/>
              </w:rPr>
              <w:t>处理后作为肥</w:t>
            </w:r>
            <w:r>
              <w:rPr>
                <w:rFonts w:hint="eastAsia" w:ascii="Times New Roman" w:hAnsi="Times New Roman"/>
                <w:color w:val="000000"/>
                <w:sz w:val="18"/>
                <w:szCs w:val="18"/>
                <w:lang w:val="en-US" w:eastAsia="zh-CN"/>
              </w:rPr>
              <w:t>田</w:t>
            </w:r>
            <w:r>
              <w:rPr>
                <w:rFonts w:hint="eastAsia" w:ascii="Times New Roman" w:hAnsi="Times New Roman"/>
                <w:color w:val="000000"/>
                <w:sz w:val="18"/>
                <w:szCs w:val="18"/>
                <w:lang w:val="en-GB"/>
              </w:rPr>
              <w:t>。</w:t>
            </w:r>
            <w:r>
              <w:rPr>
                <w:rFonts w:hint="eastAsia" w:ascii="Times New Roman" w:hAnsi="Times New Roman"/>
                <w:color w:val="000000"/>
                <w:sz w:val="18"/>
                <w:szCs w:val="18"/>
                <w:lang w:eastAsia="zh-CN"/>
              </w:rPr>
              <w:t>项目无废水排放。</w:t>
            </w:r>
          </w:p>
          <w:p w14:paraId="617A7B12">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4.噪声：营运期噪声主要为风电机组运行噪声。本项目风力发电机制造厂商通过采用隔音防震型电机、减速叶片和阻尼材料减振隔声等措施对风电机噪声进行控制，可有效降低噪声。本项目风机500m范围内无声环境敏感点，对周围声环境影响较小。</w:t>
            </w:r>
          </w:p>
          <w:p w14:paraId="5DD85356">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4.固体废物：</w:t>
            </w:r>
            <w:r>
              <w:rPr>
                <w:rFonts w:hint="eastAsia" w:ascii="Times New Roman" w:hAnsi="Times New Roman"/>
                <w:color w:val="000000"/>
                <w:sz w:val="18"/>
                <w:szCs w:val="18"/>
                <w:lang w:eastAsia="zh-CN"/>
              </w:rPr>
              <w:t>营运期固体废弃物主要为废变压器油、废润滑油、废蓄电池等，在</w:t>
            </w:r>
            <w:r>
              <w:rPr>
                <w:rFonts w:hint="eastAsia" w:ascii="Times New Roman" w:hAnsi="Times New Roman"/>
                <w:color w:val="000000"/>
                <w:sz w:val="18"/>
                <w:szCs w:val="18"/>
                <w:lang w:val="en-US" w:eastAsia="zh-CN"/>
              </w:rPr>
              <w:t>升压站</w:t>
            </w:r>
            <w:r>
              <w:rPr>
                <w:rFonts w:hint="eastAsia" w:ascii="Times New Roman" w:hAnsi="Times New Roman"/>
                <w:color w:val="000000"/>
                <w:sz w:val="18"/>
                <w:szCs w:val="18"/>
                <w:lang w:eastAsia="zh-CN"/>
              </w:rPr>
              <w:t>危废暂存间分类暂存后，定期交由就近有资质</w:t>
            </w:r>
            <w:r>
              <w:rPr>
                <w:rFonts w:hint="eastAsia" w:ascii="Times New Roman" w:hAnsi="Times New Roman"/>
                <w:color w:val="000000"/>
                <w:sz w:val="18"/>
                <w:szCs w:val="18"/>
                <w:lang w:val="en-US" w:eastAsia="zh-CN"/>
              </w:rPr>
              <w:t>危废单位进行安全处置。一般固体废物暂存应满足《一般工业固体废物贮存和填埋污染控制标准》（GB18599 -2020）要求，危险废物暂存应满足《危险废物贮存污染控制标准》（GB18597-2023）要求。</w:t>
            </w:r>
          </w:p>
          <w:p w14:paraId="0AB088C0">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bookmarkStart w:id="0" w:name="_GoBack"/>
            <w:bookmarkEnd w:id="0"/>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9"/>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751417D"/>
    <w:rsid w:val="09A15DC1"/>
    <w:rsid w:val="09E6605D"/>
    <w:rsid w:val="0B652750"/>
    <w:rsid w:val="126D0F3F"/>
    <w:rsid w:val="13FD1DAB"/>
    <w:rsid w:val="14A55308"/>
    <w:rsid w:val="151C4634"/>
    <w:rsid w:val="159D7523"/>
    <w:rsid w:val="21986466"/>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EF92D15"/>
    <w:rsid w:val="4F2D1826"/>
    <w:rsid w:val="506B2B73"/>
    <w:rsid w:val="51C957E0"/>
    <w:rsid w:val="52376698"/>
    <w:rsid w:val="56C81A1D"/>
    <w:rsid w:val="56E408B3"/>
    <w:rsid w:val="57AC4DC9"/>
    <w:rsid w:val="58604C6D"/>
    <w:rsid w:val="591254C2"/>
    <w:rsid w:val="5AC029C4"/>
    <w:rsid w:val="5F050D4A"/>
    <w:rsid w:val="62712768"/>
    <w:rsid w:val="664F2219"/>
    <w:rsid w:val="6A074AD5"/>
    <w:rsid w:val="6CD213AC"/>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9"/>
    <w:qFormat/>
    <w:uiPriority w:val="0"/>
    <w:rPr>
      <w:b/>
      <w:bCs/>
      <w:sz w:val="24"/>
    </w:rPr>
  </w:style>
  <w:style w:type="paragraph" w:styleId="9">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0">
    <w:name w:val="Body Text Indent"/>
    <w:basedOn w:val="1"/>
    <w:qFormat/>
    <w:uiPriority w:val="0"/>
    <w:pPr>
      <w:ind w:left="420" w:leftChars="200"/>
    </w:p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6"/>
    <w:qFormat/>
    <w:uiPriority w:val="0"/>
    <w:pPr>
      <w:spacing w:after="120"/>
      <w:ind w:firstLine="420" w:firstLineChars="100"/>
    </w:pPr>
    <w:rPr>
      <w:sz w:val="21"/>
    </w:rPr>
  </w:style>
  <w:style w:type="paragraph" w:styleId="16">
    <w:name w:val="Body Text First Indent 2"/>
    <w:basedOn w:val="10"/>
    <w:qFormat/>
    <w:uiPriority w:val="0"/>
    <w:pPr>
      <w:ind w:firstLine="200" w:firstLineChars="200"/>
    </w:pPr>
    <w:rPr>
      <w:szCs w:val="21"/>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页眉 Char"/>
    <w:basedOn w:val="18"/>
    <w:link w:val="13"/>
    <w:qFormat/>
    <w:uiPriority w:val="0"/>
    <w:rPr>
      <w:rFonts w:asciiTheme="minorHAnsi" w:hAnsiTheme="minorHAnsi" w:eastAsiaTheme="minorEastAsia" w:cstheme="minorBidi"/>
      <w:kern w:val="2"/>
      <w:sz w:val="18"/>
      <w:szCs w:val="18"/>
    </w:rPr>
  </w:style>
  <w:style w:type="character" w:customStyle="1" w:styleId="22">
    <w:name w:val="页脚 Char"/>
    <w:basedOn w:val="18"/>
    <w:link w:val="12"/>
    <w:qFormat/>
    <w:uiPriority w:val="0"/>
    <w:rPr>
      <w:rFonts w:asciiTheme="minorHAnsi" w:hAnsiTheme="minorHAnsi" w:eastAsiaTheme="minorEastAsia" w:cstheme="minorBidi"/>
      <w:kern w:val="2"/>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1194</Words>
  <Characters>1343</Characters>
  <Lines>1</Lines>
  <Paragraphs>2</Paragraphs>
  <TotalTime>0</TotalTime>
  <ScaleCrop>false</ScaleCrop>
  <LinksUpToDate>false</LinksUpToDate>
  <CharactersWithSpaces>1350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2026-06-23T03:19:22Z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