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滑县审计局审计结果公告</w:t>
      </w:r>
    </w:p>
    <w:p>
      <w:pPr>
        <w:jc w:val="center"/>
        <w:rPr>
          <w:rFonts w:hint="eastAsia" w:asciiTheme="minorEastAsia" w:hAnsiTheme="minorEastAsia" w:eastAsiaTheme="minorEastAsia" w:cstheme="minorEastAsia"/>
          <w:color w:val="000000"/>
          <w:kern w:val="0"/>
          <w:sz w:val="44"/>
          <w:szCs w:val="44"/>
          <w:lang w:val="en-US" w:eastAsia="zh-CN"/>
        </w:rPr>
      </w:pP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ascii="Times New Roman" w:hAnsi="Times New Roman" w:eastAsia="宋体" w:cs="Times New Roman"/>
          <w:color w:val="000000"/>
          <w:kern w:val="0"/>
          <w:sz w:val="31"/>
          <w:szCs w:val="31"/>
          <w:lang w:val="en-US" w:eastAsia="zh-CN" w:bidi="ar"/>
        </w:rPr>
        <w:t>18</w:t>
      </w:r>
      <w:r>
        <w:rPr>
          <w:rFonts w:hint="eastAsia" w:ascii="楷体" w:hAnsi="楷体" w:eastAsia="楷体" w:cs="楷体"/>
          <w:color w:val="000000"/>
          <w:kern w:val="0"/>
          <w:sz w:val="31"/>
          <w:szCs w:val="31"/>
          <w:lang w:val="en-US" w:eastAsia="zh-CN" w:bidi="ar"/>
        </w:rPr>
        <w:t>号</w:t>
      </w:r>
    </w:p>
    <w:p>
      <w:pPr>
        <w:jc w:val="center"/>
        <w:rPr>
          <w:rFonts w:hint="eastAsia" w:asciiTheme="minorEastAsia" w:hAnsiTheme="minorEastAsia" w:eastAsiaTheme="minorEastAsia" w:cstheme="minorEastAsia"/>
          <w:color w:val="000000"/>
          <w:kern w:val="0"/>
          <w:sz w:val="44"/>
          <w:szCs w:val="44"/>
          <w:lang w:val="en-US" w:eastAsia="zh-CN"/>
        </w:rPr>
      </w:pPr>
      <w:r>
        <w:rPr>
          <w:rFonts w:hint="eastAsia" w:asciiTheme="minorEastAsia" w:hAnsiTheme="minorEastAsia" w:eastAsiaTheme="minorEastAsia" w:cstheme="minorEastAsia"/>
          <w:color w:val="000000"/>
          <w:kern w:val="0"/>
          <w:sz w:val="44"/>
          <w:szCs w:val="44"/>
          <w:lang w:val="en-US" w:eastAsia="zh-CN"/>
        </w:rPr>
        <w:t>滑县</w:t>
      </w:r>
      <w:bookmarkStart w:id="0" w:name="_GoBack"/>
      <w:r>
        <w:rPr>
          <w:rFonts w:hint="eastAsia" w:asciiTheme="minorEastAsia" w:hAnsiTheme="minorEastAsia" w:eastAsiaTheme="minorEastAsia" w:cstheme="minorEastAsia"/>
          <w:color w:val="000000"/>
          <w:kern w:val="0"/>
          <w:sz w:val="44"/>
          <w:szCs w:val="44"/>
          <w:lang w:val="en-US" w:eastAsia="zh-CN"/>
        </w:rPr>
        <w:t>人民医院2022-2024年度资产负债及</w:t>
      </w:r>
    </w:p>
    <w:p>
      <w:pPr>
        <w:jc w:val="center"/>
        <w:rPr>
          <w:rFonts w:hint="eastAsia" w:asciiTheme="minorEastAsia" w:hAnsiTheme="minorEastAsia" w:eastAsiaTheme="minorEastAsia" w:cstheme="minorEastAsia"/>
          <w:color w:val="000000"/>
          <w:kern w:val="0"/>
          <w:sz w:val="44"/>
          <w:szCs w:val="44"/>
          <w:lang w:val="en-US" w:eastAsia="zh-CN"/>
        </w:rPr>
      </w:pPr>
      <w:r>
        <w:rPr>
          <w:rFonts w:hint="eastAsia" w:asciiTheme="minorEastAsia" w:hAnsiTheme="minorEastAsia" w:eastAsiaTheme="minorEastAsia" w:cstheme="minorEastAsia"/>
          <w:color w:val="000000"/>
          <w:kern w:val="0"/>
          <w:sz w:val="44"/>
          <w:szCs w:val="44"/>
          <w:lang w:val="en-US" w:eastAsia="zh-CN"/>
        </w:rPr>
        <w:t>运营情况专项</w:t>
      </w:r>
      <w:bookmarkEnd w:id="0"/>
      <w:r>
        <w:rPr>
          <w:rFonts w:hint="eastAsia" w:asciiTheme="minorEastAsia" w:hAnsiTheme="minorEastAsia" w:eastAsiaTheme="minorEastAsia" w:cstheme="minorEastAsia"/>
          <w:color w:val="000000"/>
          <w:kern w:val="0"/>
          <w:sz w:val="44"/>
          <w:szCs w:val="44"/>
          <w:lang w:val="en-US" w:eastAsia="zh-CN"/>
        </w:rPr>
        <w:t>审计调查结果公告</w:t>
      </w:r>
    </w:p>
    <w:p>
      <w:pPr>
        <w:jc w:val="center"/>
        <w:rPr>
          <w:rFonts w:hint="eastAsia" w:asciiTheme="minorEastAsia" w:hAnsiTheme="minorEastAsia" w:eastAsiaTheme="minorEastAsia" w:cstheme="minorEastAsia"/>
          <w:color w:val="000000"/>
          <w:kern w:val="0"/>
          <w:sz w:val="44"/>
          <w:szCs w:val="44"/>
          <w:lang w:val="en-US" w:eastAsia="zh-CN"/>
        </w:rPr>
      </w:pPr>
    </w:p>
    <w:p>
      <w:pPr>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highlight w:val="none"/>
        </w:rPr>
        <w:t>根据《中华人民共和国审计法》</w:t>
      </w:r>
      <w:r>
        <w:rPr>
          <w:rFonts w:hint="eastAsia" w:ascii="仿宋" w:hAnsi="仿宋" w:eastAsia="仿宋" w:cs="仿宋"/>
          <w:sz w:val="32"/>
          <w:szCs w:val="32"/>
          <w:highlight w:val="none"/>
          <w:lang w:val="en-US" w:eastAsia="zh-CN"/>
        </w:rPr>
        <w:t>第二十一条和</w:t>
      </w:r>
      <w:r>
        <w:rPr>
          <w:rFonts w:hint="eastAsia" w:ascii="仿宋" w:hAnsi="仿宋" w:eastAsia="仿宋" w:cs="仿宋"/>
          <w:sz w:val="32"/>
          <w:szCs w:val="32"/>
          <w:highlight w:val="none"/>
        </w:rPr>
        <w:t>第二十</w:t>
      </w:r>
      <w:r>
        <w:rPr>
          <w:rFonts w:hint="eastAsia" w:ascii="仿宋" w:hAnsi="仿宋" w:eastAsia="仿宋" w:cs="仿宋"/>
          <w:sz w:val="32"/>
          <w:szCs w:val="32"/>
          <w:highlight w:val="none"/>
          <w:lang w:eastAsia="zh-CN"/>
        </w:rPr>
        <w:t>九</w:t>
      </w:r>
      <w:r>
        <w:rPr>
          <w:rFonts w:hint="eastAsia" w:ascii="仿宋" w:hAnsi="仿宋" w:eastAsia="仿宋" w:cs="仿宋"/>
          <w:sz w:val="32"/>
          <w:szCs w:val="32"/>
          <w:highlight w:val="none"/>
        </w:rPr>
        <w:t>条的规定，</w:t>
      </w:r>
      <w:r>
        <w:rPr>
          <w:rFonts w:hint="eastAsia" w:ascii="仿宋" w:hAnsi="仿宋" w:eastAsia="仿宋" w:cs="仿宋"/>
          <w:sz w:val="32"/>
          <w:szCs w:val="32"/>
          <w:highlight w:val="none"/>
          <w:lang w:eastAsia="zh-CN"/>
        </w:rPr>
        <w:t>经中共</w:t>
      </w:r>
      <w:r>
        <w:rPr>
          <w:rFonts w:hint="eastAsia" w:ascii="仿宋" w:hAnsi="仿宋" w:eastAsia="仿宋" w:cs="仿宋"/>
          <w:sz w:val="32"/>
          <w:szCs w:val="32"/>
          <w:highlight w:val="none"/>
          <w:lang w:val="en-US" w:eastAsia="zh-CN"/>
        </w:rPr>
        <w:t>滑县县委</w:t>
      </w:r>
      <w:r>
        <w:rPr>
          <w:rFonts w:hint="eastAsia" w:ascii="仿宋" w:hAnsi="仿宋" w:eastAsia="仿宋" w:cs="仿宋"/>
          <w:sz w:val="32"/>
          <w:szCs w:val="32"/>
          <w:highlight w:val="none"/>
          <w:lang w:eastAsia="zh-CN"/>
        </w:rPr>
        <w:t>审计委员会批准，</w:t>
      </w:r>
      <w:r>
        <w:rPr>
          <w:rFonts w:hint="eastAsia" w:ascii="仿宋" w:hAnsi="仿宋" w:eastAsia="仿宋" w:cs="仿宋"/>
          <w:sz w:val="32"/>
          <w:szCs w:val="32"/>
          <w:highlight w:val="none"/>
          <w:lang w:val="en-US" w:eastAsia="zh-CN"/>
        </w:rPr>
        <w:t>滑县审计局</w:t>
      </w:r>
      <w:r>
        <w:rPr>
          <w:rFonts w:hint="eastAsia" w:ascii="仿宋" w:hAnsi="仿宋" w:eastAsia="仿宋" w:cs="仿宋"/>
          <w:sz w:val="32"/>
          <w:szCs w:val="32"/>
          <w:highlight w:val="none"/>
        </w:rPr>
        <w:t>自202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27日至2026年1月9日，</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val="en-US" w:eastAsia="zh-CN"/>
        </w:rPr>
        <w:t>滑县人民医院</w:t>
      </w:r>
      <w:r>
        <w:rPr>
          <w:rFonts w:hint="eastAsia" w:ascii="仿宋" w:hAnsi="仿宋" w:eastAsia="仿宋" w:cs="仿宋"/>
          <w:sz w:val="32"/>
          <w:szCs w:val="32"/>
          <w:highlight w:val="none"/>
          <w:lang w:eastAsia="zh-CN"/>
        </w:rPr>
        <w:t>2022至2024年</w:t>
      </w:r>
      <w:r>
        <w:rPr>
          <w:rFonts w:hint="eastAsia" w:ascii="仿宋" w:hAnsi="仿宋" w:eastAsia="仿宋" w:cs="仿宋"/>
          <w:sz w:val="32"/>
          <w:szCs w:val="32"/>
          <w:highlight w:val="none"/>
          <w:lang w:val="en-US" w:eastAsia="zh-CN"/>
        </w:rPr>
        <w:t>资产负债及运营情况</w:t>
      </w:r>
      <w:r>
        <w:rPr>
          <w:rFonts w:hint="eastAsia" w:ascii="仿宋" w:hAnsi="仿宋" w:eastAsia="仿宋" w:cs="仿宋"/>
          <w:sz w:val="32"/>
          <w:szCs w:val="32"/>
          <w:highlight w:val="none"/>
        </w:rPr>
        <w:t>进行</w:t>
      </w:r>
      <w:r>
        <w:rPr>
          <w:rFonts w:hint="eastAsia" w:ascii="仿宋" w:hAnsi="仿宋" w:eastAsia="仿宋" w:cs="仿宋"/>
          <w:sz w:val="32"/>
          <w:szCs w:val="32"/>
          <w:highlight w:val="none"/>
          <w:lang w:val="en-US" w:eastAsia="zh-CN"/>
        </w:rPr>
        <w:t>了</w:t>
      </w:r>
      <w:r>
        <w:rPr>
          <w:rFonts w:hint="eastAsia" w:ascii="仿宋" w:hAnsi="仿宋" w:eastAsia="仿宋" w:cs="仿宋"/>
          <w:sz w:val="32"/>
          <w:szCs w:val="32"/>
          <w:highlight w:val="none"/>
        </w:rPr>
        <w:t>专项审计</w:t>
      </w:r>
      <w:r>
        <w:rPr>
          <w:rFonts w:hint="eastAsia" w:ascii="仿宋" w:hAnsi="仿宋" w:eastAsia="仿宋" w:cs="仿宋"/>
          <w:sz w:val="32"/>
          <w:szCs w:val="32"/>
          <w:highlight w:val="none"/>
          <w:lang w:val="en-US" w:eastAsia="zh-CN"/>
        </w:rPr>
        <w:t>调查</w:t>
      </w:r>
      <w:r>
        <w:rPr>
          <w:rFonts w:hint="eastAsia" w:ascii="仿宋" w:hAnsi="仿宋" w:eastAsia="仿宋" w:cs="仿宋"/>
          <w:color w:val="000000"/>
          <w:kern w:val="0"/>
          <w:sz w:val="32"/>
          <w:szCs w:val="32"/>
          <w:lang w:val="en-US" w:eastAsia="zh-CN"/>
        </w:rPr>
        <w:t>。现将审计调查结果公告如下：</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eastAsia="zh-CN"/>
        </w:rPr>
        <w:t>一、</w:t>
      </w:r>
      <w:r>
        <w:rPr>
          <w:rFonts w:hint="default" w:ascii="Times New Roman" w:hAnsi="Times New Roman" w:eastAsia="黑体" w:cs="Times New Roman"/>
          <w:sz w:val="32"/>
          <w:szCs w:val="32"/>
        </w:rPr>
        <w:t>被调查事项的基本情况</w:t>
      </w:r>
    </w:p>
    <w:p>
      <w:pPr>
        <w:snapToGrid/>
        <w:spacing w:beforeLines="0" w:afterLines="0" w:line="579" w:lineRule="exact"/>
        <w:ind w:firstLine="640" w:firstLineChars="200"/>
        <w:jc w:val="both"/>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滑县人民医院总编制床位1400张，实际开放床位1400张；医院核定人员编制750人，实有在职职工1769人，其中：医疗卫生技术人员（医生、护理、医技）1534人，行政后勤人员235人</w:t>
      </w:r>
      <w:r>
        <w:rPr>
          <w:rFonts w:hint="eastAsia" w:ascii="仿宋" w:hAnsi="仿宋" w:eastAsia="仿宋" w:cs="仿宋"/>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二、审计调查评价意见</w:t>
      </w:r>
    </w:p>
    <w:p>
      <w:pPr>
        <w:snapToGrid/>
        <w:spacing w:beforeLines="0" w:afterLines="0" w:line="579" w:lineRule="exact"/>
        <w:ind w:firstLine="640" w:firstLineChars="200"/>
        <w:jc w:val="both"/>
        <w:rPr>
          <w:rFonts w:hint="default" w:ascii="仿宋" w:hAnsi="仿宋" w:eastAsia="仿宋" w:cs="仿宋"/>
          <w:b w:val="0"/>
          <w:bCs w:val="0"/>
          <w:color w:val="000000"/>
          <w:sz w:val="32"/>
          <w:szCs w:val="32"/>
          <w:highlight w:val="none"/>
          <w:lang w:val="en-US" w:eastAsia="zh-CN"/>
        </w:rPr>
      </w:pPr>
      <w:r>
        <w:rPr>
          <w:rFonts w:hint="default" w:ascii="仿宋" w:hAnsi="仿宋" w:eastAsia="仿宋" w:cs="仿宋"/>
          <w:b w:val="0"/>
          <w:bCs w:val="0"/>
          <w:color w:val="000000"/>
          <w:sz w:val="32"/>
          <w:szCs w:val="32"/>
          <w:highlight w:val="none"/>
          <w:lang w:val="en-US" w:eastAsia="zh-CN"/>
        </w:rPr>
        <w:t>审计结果表明，2022至2024年</w:t>
      </w:r>
      <w:r>
        <w:rPr>
          <w:rFonts w:hint="eastAsia" w:ascii="仿宋" w:hAnsi="仿宋" w:eastAsia="仿宋" w:cs="仿宋"/>
          <w:b w:val="0"/>
          <w:bCs w:val="0"/>
          <w:color w:val="000000"/>
          <w:sz w:val="32"/>
          <w:szCs w:val="32"/>
          <w:highlight w:val="none"/>
          <w:lang w:val="en-US" w:eastAsia="zh-CN"/>
        </w:rPr>
        <w:t>，滑县人民医院</w:t>
      </w:r>
      <w:r>
        <w:rPr>
          <w:rFonts w:hint="default" w:ascii="仿宋" w:hAnsi="仿宋" w:eastAsia="仿宋" w:cs="仿宋"/>
          <w:b w:val="0"/>
          <w:bCs w:val="0"/>
          <w:color w:val="000000"/>
          <w:sz w:val="32"/>
          <w:szCs w:val="32"/>
          <w:highlight w:val="none"/>
          <w:lang w:val="en-US" w:eastAsia="zh-CN"/>
        </w:rPr>
        <w:t>推进诊疗能力提升、服务流程优化</w:t>
      </w:r>
      <w:r>
        <w:rPr>
          <w:rFonts w:hint="eastAsia" w:ascii="仿宋" w:hAnsi="仿宋" w:eastAsia="仿宋" w:cs="仿宋"/>
          <w:b w:val="0"/>
          <w:bCs w:val="0"/>
          <w:color w:val="000000"/>
          <w:sz w:val="32"/>
          <w:szCs w:val="32"/>
          <w:highlight w:val="none"/>
          <w:lang w:val="en-US" w:eastAsia="zh-CN"/>
        </w:rPr>
        <w:t>，能够</w:t>
      </w:r>
      <w:r>
        <w:rPr>
          <w:rFonts w:hint="default" w:ascii="仿宋" w:hAnsi="仿宋" w:eastAsia="仿宋" w:cs="仿宋"/>
          <w:b w:val="0"/>
          <w:bCs w:val="0"/>
          <w:color w:val="000000"/>
          <w:sz w:val="32"/>
          <w:szCs w:val="32"/>
          <w:highlight w:val="none"/>
          <w:lang w:val="en-US" w:eastAsia="zh-CN"/>
        </w:rPr>
        <w:t>保障县域居民日常基本医疗需求，做好公共卫生服务及突发应急医疗工作，履行社会责任</w:t>
      </w:r>
      <w:r>
        <w:rPr>
          <w:rFonts w:hint="eastAsia" w:ascii="仿宋" w:hAnsi="仿宋" w:eastAsia="仿宋" w:cs="仿宋"/>
          <w:b w:val="0"/>
          <w:bCs w:val="0"/>
          <w:color w:val="000000"/>
          <w:sz w:val="32"/>
          <w:szCs w:val="32"/>
          <w:highlight w:val="none"/>
          <w:lang w:val="en-US" w:eastAsia="zh-CN"/>
        </w:rPr>
        <w:t>，</w:t>
      </w:r>
      <w:r>
        <w:rPr>
          <w:rFonts w:hint="default" w:ascii="仿宋" w:hAnsi="仿宋" w:eastAsia="仿宋" w:cs="仿宋"/>
          <w:b w:val="0"/>
          <w:bCs w:val="0"/>
          <w:color w:val="000000"/>
          <w:sz w:val="32"/>
          <w:szCs w:val="32"/>
          <w:highlight w:val="none"/>
          <w:lang w:val="en-US" w:eastAsia="zh-CN"/>
        </w:rPr>
        <w:t>促进公立医院高质量发展。此次审计调查也发现，滑县人民医院在诊疗服务和收费结算、药品和医疗器械采购、医院管理运营等方面还存在</w:t>
      </w:r>
      <w:r>
        <w:rPr>
          <w:rFonts w:hint="eastAsia" w:ascii="仿宋" w:hAnsi="仿宋" w:eastAsia="仿宋" w:cs="仿宋"/>
          <w:b w:val="0"/>
          <w:bCs w:val="0"/>
          <w:color w:val="000000"/>
          <w:sz w:val="32"/>
          <w:szCs w:val="32"/>
          <w:highlight w:val="none"/>
          <w:lang w:val="en-US" w:eastAsia="zh-CN"/>
        </w:rPr>
        <w:t>重复收费、超标准收费、大型医疗设备长期闲置等</w:t>
      </w:r>
      <w:r>
        <w:rPr>
          <w:rFonts w:hint="default" w:ascii="仿宋" w:hAnsi="仿宋" w:eastAsia="仿宋" w:cs="仿宋"/>
          <w:b w:val="0"/>
          <w:bCs w:val="0"/>
          <w:color w:val="000000"/>
          <w:sz w:val="32"/>
          <w:szCs w:val="32"/>
          <w:highlight w:val="none"/>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right="0" w:rightChars="0"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三、</w:t>
      </w:r>
      <w:r>
        <w:rPr>
          <w:rFonts w:hint="default" w:ascii="Times New Roman" w:hAnsi="Times New Roman" w:eastAsia="黑体" w:cs="Times New Roman"/>
          <w:sz w:val="32"/>
          <w:szCs w:val="32"/>
        </w:rPr>
        <w:t>审计调查发现的主要问题</w:t>
      </w:r>
    </w:p>
    <w:p>
      <w:pPr>
        <w:keepNext w:val="0"/>
        <w:keepLines w:val="0"/>
        <w:pageBreakBefore w:val="0"/>
        <w:widowControl w:val="0"/>
        <w:tabs>
          <w:tab w:val="left" w:pos="716"/>
        </w:tabs>
        <w:kinsoku/>
        <w:wordWrap/>
        <w:overflowPunct/>
        <w:topLinePunct w:val="0"/>
        <w:autoSpaceDE/>
        <w:autoSpaceDN/>
        <w:bidi w:val="0"/>
        <w:adjustRightInd/>
        <w:snapToGrid/>
        <w:spacing w:beforeLines="0" w:afterLines="0" w:line="579" w:lineRule="exact"/>
        <w:ind w:leftChars="0" w:firstLine="640" w:firstLineChars="200"/>
        <w:jc w:val="both"/>
        <w:textAlignment w:val="auto"/>
        <w:rPr>
          <w:rFonts w:hint="eastAsia" w:ascii="Times New Roman" w:hAnsi="Times New Roman" w:eastAsia="楷体_GB2312" w:cs="楷体_GB2312"/>
          <w:b w:val="0"/>
          <w:spacing w:val="0"/>
          <w:kern w:val="2"/>
          <w:sz w:val="32"/>
          <w:szCs w:val="32"/>
          <w:highlight w:val="none"/>
          <w:lang w:val="en-US" w:eastAsia="zh-CN"/>
        </w:rPr>
      </w:pPr>
      <w:r>
        <w:rPr>
          <w:rFonts w:hint="eastAsia" w:ascii="Times New Roman" w:hAnsi="Times New Roman" w:eastAsia="楷体_GB2312" w:cs="楷体_GB2312"/>
          <w:b w:val="0"/>
          <w:spacing w:val="0"/>
          <w:kern w:val="2"/>
          <w:sz w:val="32"/>
          <w:szCs w:val="32"/>
          <w:highlight w:val="none"/>
          <w:lang w:val="en-US" w:eastAsia="zh-CN"/>
        </w:rPr>
        <w:t>（一）诊疗服务和收费结算方面。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1.重复收费，涉及资金144.45万元，其中：医保基金71.45万元，患者自付资金73万元。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2.超标准收费，涉及资金57.03万元，其中：医保基金24.53万元，患者自付32.5万元。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3.过度治疗检查，涉及资金4.65万元，其中：医保基金4.64万元，患者自付80.5元。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4.低指征住院，涉及资金3013.5元。其中：医保基金1522.92元，患者自付1490.58元。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5.以转嫁门诊方式规避医保付费，涉及资金43.55万元，其中：患者自付43.55万元。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6.超范围检查，涉及资金36.37万元，其中：医保基金13.02万元，患者自付23.35万元。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outlineLvl w:val="9"/>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spacing w:val="0"/>
          <w:kern w:val="2"/>
          <w:sz w:val="32"/>
          <w:szCs w:val="32"/>
          <w:highlight w:val="none"/>
          <w:lang w:val="en-US" w:eastAsia="zh-CN"/>
        </w:rPr>
        <w:t>7.病原微生物实验室位置变更未及时备案。</w:t>
      </w:r>
    </w:p>
    <w:p>
      <w:pPr>
        <w:keepNext w:val="0"/>
        <w:keepLines w:val="0"/>
        <w:pageBreakBefore w:val="0"/>
        <w:widowControl w:val="0"/>
        <w:numPr>
          <w:ilvl w:val="0"/>
          <w:numId w:val="0"/>
        </w:numPr>
        <w:tabs>
          <w:tab w:val="left" w:pos="716"/>
        </w:tabs>
        <w:kinsoku/>
        <w:wordWrap/>
        <w:overflowPunct/>
        <w:topLinePunct w:val="0"/>
        <w:autoSpaceDE/>
        <w:autoSpaceDN/>
        <w:bidi w:val="0"/>
        <w:adjustRightInd/>
        <w:snapToGrid/>
        <w:spacing w:beforeLines="0" w:afterLines="0" w:line="579" w:lineRule="exact"/>
        <w:ind w:leftChars="200"/>
        <w:jc w:val="both"/>
        <w:textAlignment w:val="auto"/>
        <w:rPr>
          <w:rFonts w:hint="eastAsia" w:ascii="Times New Roman" w:hAnsi="Times New Roman" w:eastAsia="楷体_GB2312" w:cs="楷体_GB2312"/>
          <w:b w:val="0"/>
          <w:spacing w:val="0"/>
          <w:kern w:val="2"/>
          <w:sz w:val="32"/>
          <w:szCs w:val="32"/>
          <w:highlight w:val="none"/>
          <w:lang w:val="en-US" w:eastAsia="zh-CN"/>
        </w:rPr>
      </w:pPr>
      <w:r>
        <w:rPr>
          <w:rFonts w:hint="eastAsia" w:ascii="Times New Roman" w:hAnsi="Times New Roman" w:eastAsia="楷体_GB2312" w:cs="楷体_GB2312"/>
          <w:b w:val="0"/>
          <w:spacing w:val="0"/>
          <w:kern w:val="2"/>
          <w:sz w:val="32"/>
          <w:szCs w:val="32"/>
          <w:highlight w:val="none"/>
          <w:lang w:val="en-US" w:eastAsia="zh-CN"/>
        </w:rPr>
        <w:t>（</w:t>
      </w:r>
      <w:r>
        <w:rPr>
          <w:rFonts w:hint="eastAsia" w:eastAsia="楷体_GB2312" w:cs="楷体_GB2312"/>
          <w:b w:val="0"/>
          <w:spacing w:val="0"/>
          <w:kern w:val="2"/>
          <w:sz w:val="32"/>
          <w:szCs w:val="32"/>
          <w:highlight w:val="none"/>
          <w:lang w:val="en-US" w:eastAsia="zh-CN"/>
        </w:rPr>
        <w:t>二</w:t>
      </w:r>
      <w:r>
        <w:rPr>
          <w:rFonts w:hint="eastAsia" w:ascii="Times New Roman" w:hAnsi="Times New Roman" w:eastAsia="楷体_GB2312" w:cs="楷体_GB2312"/>
          <w:b w:val="0"/>
          <w:spacing w:val="0"/>
          <w:kern w:val="2"/>
          <w:sz w:val="32"/>
          <w:szCs w:val="32"/>
          <w:highlight w:val="none"/>
          <w:lang w:val="en-US" w:eastAsia="zh-CN"/>
        </w:rPr>
        <w:t>）药品和医疗器械采购使用方面。</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1.设备供应商“钓鱼式捐赠”设备，垄断医院设备采购。</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2.集采报量与实际需求不符，涉及资金2140.04万元。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3.未完成中选品种采购任务，涉及资金1242.64万元。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4.同类集采中选产品中未优先采购低价产品，增加用药成本，涉及资金5.17万元。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5.集中带量采购结余资金长期滞留未使用，涉及资金3.36万元。</w:t>
      </w:r>
    </w:p>
    <w:p>
      <w:pPr>
        <w:keepNext w:val="0"/>
        <w:keepLines w:val="0"/>
        <w:pageBreakBefore w:val="0"/>
        <w:widowControl w:val="0"/>
        <w:numPr>
          <w:ilvl w:val="0"/>
          <w:numId w:val="0"/>
        </w:numPr>
        <w:tabs>
          <w:tab w:val="left" w:pos="716"/>
        </w:tabs>
        <w:kinsoku/>
        <w:wordWrap/>
        <w:overflowPunct/>
        <w:topLinePunct w:val="0"/>
        <w:autoSpaceDE/>
        <w:autoSpaceDN/>
        <w:bidi w:val="0"/>
        <w:adjustRightInd/>
        <w:snapToGrid/>
        <w:spacing w:beforeLines="0" w:afterLines="0" w:line="579" w:lineRule="exact"/>
        <w:ind w:leftChars="200"/>
        <w:jc w:val="both"/>
        <w:textAlignment w:val="auto"/>
        <w:rPr>
          <w:rFonts w:hint="eastAsia" w:ascii="Times New Roman" w:hAnsi="Times New Roman" w:eastAsia="楷体_GB2312" w:cs="楷体_GB2312"/>
          <w:b w:val="0"/>
          <w:spacing w:val="0"/>
          <w:kern w:val="2"/>
          <w:sz w:val="32"/>
          <w:szCs w:val="32"/>
          <w:highlight w:val="none"/>
          <w:lang w:val="en-US" w:eastAsia="zh-CN"/>
        </w:rPr>
      </w:pPr>
      <w:r>
        <w:rPr>
          <w:rFonts w:hint="eastAsia" w:ascii="Times New Roman" w:hAnsi="Times New Roman" w:eastAsia="楷体_GB2312" w:cs="楷体_GB2312"/>
          <w:b w:val="0"/>
          <w:spacing w:val="0"/>
          <w:kern w:val="2"/>
          <w:sz w:val="32"/>
          <w:szCs w:val="32"/>
          <w:highlight w:val="none"/>
          <w:lang w:val="en-US" w:eastAsia="zh-CN"/>
        </w:rPr>
        <w:t>（</w:t>
      </w:r>
      <w:r>
        <w:rPr>
          <w:rFonts w:hint="eastAsia" w:eastAsia="楷体_GB2312" w:cs="楷体_GB2312"/>
          <w:b w:val="0"/>
          <w:spacing w:val="0"/>
          <w:kern w:val="2"/>
          <w:sz w:val="32"/>
          <w:szCs w:val="32"/>
          <w:highlight w:val="none"/>
          <w:lang w:val="en-US" w:eastAsia="zh-CN"/>
        </w:rPr>
        <w:t>三</w:t>
      </w:r>
      <w:r>
        <w:rPr>
          <w:rFonts w:hint="eastAsia" w:ascii="Times New Roman" w:hAnsi="Times New Roman" w:eastAsia="楷体_GB2312" w:cs="楷体_GB2312"/>
          <w:b w:val="0"/>
          <w:spacing w:val="0"/>
          <w:kern w:val="2"/>
          <w:sz w:val="32"/>
          <w:szCs w:val="32"/>
          <w:highlight w:val="none"/>
          <w:lang w:val="en-US" w:eastAsia="zh-CN"/>
        </w:rPr>
        <w:t>）公立医院运营管理方面。</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1.将绩效薪酬与检查检验等收入挂钩，涉及资金18529.88万元。</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2.违规返聘退休人员，发放薪酬62.98万元。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3.未足额提取工会会费，涉及资金23.55万元。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4.无依据发放职务津贴，涉及资金69万元。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5.大额资金存放未经集体决策，涉及资金11980万元。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6.财政专项资金结余结转两年以上未上缴，涉及资金33.34万元。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7.滑县人民医院未给予药物临床试验的研究者观察费和受试者补偿1.03万元。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8.未免除受试者检查费59.7元。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9.白条列支精神心理科水电费，涉及资金27.67万元。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10.代开发票管理不规范，涉及资金3.04万元。</w:t>
      </w:r>
    </w:p>
    <w:p>
      <w:pPr>
        <w:pStyle w:val="3"/>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11.附件不完整。</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12.工程项目验收周期长且完工后未通过竣工验收即交付使用。</w:t>
      </w:r>
    </w:p>
    <w:p>
      <w:pPr>
        <w:pStyle w:val="3"/>
        <w:keepNext w:val="0"/>
        <w:keepLines w:val="0"/>
        <w:pageBreakBefore w:val="0"/>
        <w:widowControl w:val="0"/>
        <w:tabs>
          <w:tab w:val="left" w:pos="530"/>
        </w:tabs>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13.未及时进行固定资产确认，涉及资金4172.75万元。</w:t>
      </w:r>
    </w:p>
    <w:p>
      <w:pPr>
        <w:pStyle w:val="3"/>
        <w:keepNext w:val="0"/>
        <w:keepLines w:val="0"/>
        <w:pageBreakBefore w:val="0"/>
        <w:widowControl w:val="0"/>
        <w:tabs>
          <w:tab w:val="left" w:pos="530"/>
        </w:tabs>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14.未按合同约定时间收取履约保证金。</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Chars="200"/>
        <w:jc w:val="both"/>
        <w:textAlignment w:val="auto"/>
        <w:rPr>
          <w:rFonts w:hint="eastAsia" w:ascii="楷体" w:hAnsi="楷体" w:eastAsia="楷体" w:cs="楷体"/>
          <w:b w:val="0"/>
          <w:spacing w:val="0"/>
          <w:kern w:val="2"/>
          <w:sz w:val="32"/>
          <w:szCs w:val="32"/>
          <w:highlight w:val="none"/>
          <w:lang w:val="en-US" w:eastAsia="zh-CN"/>
        </w:rPr>
      </w:pPr>
      <w:r>
        <w:rPr>
          <w:rFonts w:hint="eastAsia" w:ascii="Times New Roman" w:hAnsi="Times New Roman" w:eastAsia="楷体_GB2312" w:cs="楷体_GB2312"/>
          <w:b w:val="0"/>
          <w:spacing w:val="0"/>
          <w:kern w:val="2"/>
          <w:sz w:val="32"/>
          <w:szCs w:val="32"/>
          <w:highlight w:val="none"/>
          <w:lang w:val="en-US" w:eastAsia="zh-CN"/>
        </w:rPr>
        <w:t>（</w:t>
      </w:r>
      <w:r>
        <w:rPr>
          <w:rFonts w:hint="eastAsia" w:eastAsia="楷体_GB2312" w:cs="楷体_GB2312"/>
          <w:b w:val="0"/>
          <w:spacing w:val="0"/>
          <w:kern w:val="2"/>
          <w:sz w:val="32"/>
          <w:szCs w:val="32"/>
          <w:highlight w:val="none"/>
          <w:lang w:val="en-US" w:eastAsia="zh-CN"/>
        </w:rPr>
        <w:t>四</w:t>
      </w:r>
      <w:r>
        <w:rPr>
          <w:rFonts w:hint="eastAsia" w:ascii="Times New Roman" w:hAnsi="Times New Roman" w:eastAsia="楷体_GB2312" w:cs="楷体_GB2312"/>
          <w:b w:val="0"/>
          <w:spacing w:val="0"/>
          <w:kern w:val="2"/>
          <w:sz w:val="32"/>
          <w:szCs w:val="32"/>
          <w:highlight w:val="none"/>
          <w:lang w:val="en-US" w:eastAsia="zh-CN"/>
        </w:rPr>
        <w:t>）</w:t>
      </w:r>
      <w:r>
        <w:rPr>
          <w:rFonts w:hint="eastAsia" w:ascii="楷体" w:hAnsi="楷体" w:eastAsia="楷体" w:cs="楷体"/>
          <w:b w:val="0"/>
          <w:spacing w:val="0"/>
          <w:kern w:val="2"/>
          <w:sz w:val="32"/>
          <w:szCs w:val="32"/>
          <w:highlight w:val="none"/>
          <w:lang w:val="en-US" w:eastAsia="zh-CN"/>
        </w:rPr>
        <w:t>医疗设备管理使用方面。</w:t>
      </w:r>
    </w:p>
    <w:p>
      <w:pPr>
        <w:pStyle w:val="7"/>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1.使用财政贴息贷款1730.4万元购买大型医疗设备，设备长期闲置。</w:t>
      </w:r>
    </w:p>
    <w:p>
      <w:pPr>
        <w:pStyle w:val="7"/>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2.使用其他资金1692.37万元购买大型医疗设备，设备长期闲置。</w:t>
      </w:r>
    </w:p>
    <w:p>
      <w:pPr>
        <w:pStyle w:val="7"/>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3.未经科学论证，使用政府专项债券资金360万元购买大型医疗设备，使用频次少，造成资金浪费。</w:t>
      </w:r>
    </w:p>
    <w:p>
      <w:pPr>
        <w:pStyle w:val="7"/>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4.仓库及台账管理不规范。</w:t>
      </w:r>
    </w:p>
    <w:p>
      <w:pPr>
        <w:pStyle w:val="7"/>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仿宋" w:hAnsi="仿宋" w:eastAsia="仿宋" w:cs="仿宋"/>
          <w:b w:val="0"/>
          <w:bCs w:val="0"/>
          <w:spacing w:val="0"/>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5.未及时进行固定资产报废。</w:t>
      </w:r>
    </w:p>
    <w:p>
      <w:pPr>
        <w:ind w:firstLine="640" w:firstLineChars="200"/>
        <w:rPr>
          <w:rFonts w:hint="default" w:ascii="Times New Roman" w:hAnsi="Times New Roman" w:eastAsia="黑体" w:cs="Times New Roman"/>
          <w:sz w:val="32"/>
          <w:szCs w:val="32"/>
        </w:rPr>
      </w:pPr>
      <w:r>
        <w:rPr>
          <w:rFonts w:hint="eastAsia" w:ascii="黑体" w:hAnsi="黑体" w:eastAsia="黑体" w:cs="黑体"/>
          <w:b w:val="0"/>
          <w:bCs w:val="0"/>
          <w:sz w:val="32"/>
          <w:szCs w:val="32"/>
          <w:lang w:val="en-US" w:eastAsia="zh-CN"/>
        </w:rPr>
        <w:t>四、</w:t>
      </w:r>
      <w:r>
        <w:rPr>
          <w:rFonts w:hint="default" w:ascii="Times New Roman" w:hAnsi="Times New Roman" w:eastAsia="黑体" w:cs="Times New Roman"/>
          <w:sz w:val="32"/>
          <w:szCs w:val="32"/>
        </w:rPr>
        <w:t>审计调查建议</w:t>
      </w:r>
    </w:p>
    <w:p>
      <w:pPr>
        <w:pStyle w:val="4"/>
        <w:widowControl/>
        <w:numPr>
          <w:ilvl w:val="0"/>
          <w:numId w:val="0"/>
        </w:numPr>
        <w:spacing w:beforeLines="0" w:afterLines="0" w:line="579" w:lineRule="exact"/>
        <w:ind w:firstLine="64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加强诊疗服务和收费结算管理，按照诊疗规范提供合理、必要的医疗服务，不得重复收费、超标准收费、过度治疗、超范围检查，不得以转嫁门诊方式规避医保付费，加重患者负担。定期组织医务人员学习医保政策、收费规范及诊疗指南，强化合规意识。</w:t>
      </w:r>
    </w:p>
    <w:p>
      <w:pPr>
        <w:pStyle w:val="4"/>
        <w:spacing w:line="240" w:lineRule="auto"/>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（二）加强医疗设备采购活动管理，规范医疗设备采购行为。接受捐赠设备禁止与医院采购物品或服务挂钩。</w:t>
      </w:r>
    </w:p>
    <w:p>
      <w:pPr>
        <w:pStyle w:val="4"/>
        <w:spacing w:line="240" w:lineRule="auto"/>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（三）建立科学的集采报量机制。结合上年度使用量、临床使用状况和医疗技术进步等因素进行核定，合理确定采购量。在高值医用耗材集中带量采购活动中，优先采购低价产品，严控医疗成本。</w:t>
      </w:r>
    </w:p>
    <w:p>
      <w:pPr>
        <w:pStyle w:val="4"/>
        <w:numPr>
          <w:ilvl w:val="0"/>
          <w:numId w:val="0"/>
        </w:numPr>
        <w:spacing w:line="579"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（四）修订薪酬分配制度。取消与检查检验等收入挂钩的绩效薪酬分配条款，制定以公益性为导向的绩效考核分配方案，并将薪酬分配方案上报医院主管部门和滑县人力资源和社会保障局备案。</w:t>
      </w:r>
    </w:p>
    <w:p>
      <w:pPr>
        <w:pStyle w:val="4"/>
        <w:numPr>
          <w:ilvl w:val="0"/>
          <w:numId w:val="1"/>
        </w:numPr>
        <w:spacing w:line="579"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严格执行中共滑县县委组织部《关于清理规范退休县管干部返聘工作的通知》和《滑县人民医院返聘退休人员管理规定》，加强对退休返聘人员的日常管理，对其完成返聘合同确定的工作任务情况全面考核。</w:t>
      </w:r>
    </w:p>
    <w:p>
      <w:pPr>
        <w:pStyle w:val="4"/>
        <w:numPr>
          <w:ilvl w:val="0"/>
          <w:numId w:val="0"/>
        </w:numPr>
        <w:spacing w:line="579"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（六）认真学习《河南省基层工会经费收支管理实施办法》，加强工会会员管理，足额提取工会费。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国标仿宋-GB/T 2312" w:hAnsi="国标仿宋-GB/T 2312" w:eastAsia="国标仿宋-GB/T 2312" w:cs="国标仿宋-GB/T 2312"/>
          <w:sz w:val="32"/>
          <w:szCs w:val="32"/>
        </w:rPr>
      </w:pPr>
      <w:r>
        <w:rPr>
          <w:rFonts w:hint="eastAsia" w:ascii="仿宋" w:hAnsi="仿宋" w:eastAsia="仿宋" w:cs="仿宋"/>
          <w:b w:val="0"/>
          <w:bCs w:val="0"/>
          <w:color w:val="auto"/>
          <w:kern w:val="2"/>
          <w:sz w:val="32"/>
          <w:szCs w:val="32"/>
          <w:highlight w:val="none"/>
          <w:lang w:val="en-US" w:eastAsia="zh-CN" w:bidi="ar-SA"/>
        </w:rPr>
        <w:t>（七）加强支出票据审核管理，</w:t>
      </w:r>
      <w:r>
        <w:rPr>
          <w:rFonts w:hint="eastAsia" w:ascii="国标仿宋-GB/T 2312" w:hAnsi="国标仿宋-GB/T 2312" w:eastAsia="国标仿宋-GB/T 2312" w:cs="国标仿宋-GB/T 2312"/>
          <w:kern w:val="0"/>
          <w:sz w:val="32"/>
          <w:szCs w:val="32"/>
          <w:lang w:val="en-US" w:eastAsia="zh-CN" w:bidi="ar"/>
        </w:rPr>
        <w:t>定期开展财务审核流程培训，提升财务人员责任意识和业务能力。</w:t>
      </w:r>
    </w:p>
    <w:p>
      <w:pPr>
        <w:pStyle w:val="4"/>
        <w:numPr>
          <w:ilvl w:val="0"/>
          <w:numId w:val="0"/>
        </w:numPr>
        <w:spacing w:line="579" w:lineRule="exact"/>
        <w:ind w:firstLine="64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（八）强化工程项目全流程管理。尽快协调相关部门加快项目验收进程，积极整改验收过程中存在的问题，排除安全隐患，确保各项验收尽快完成。</w:t>
      </w:r>
    </w:p>
    <w:p>
      <w:pPr>
        <w:pStyle w:val="4"/>
        <w:spacing w:line="579"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（九）加强大型医疗设备采购和使用管理。采购前进行科学论证，杜绝盲目配置，造成设备闲置、资金浪费；及时更新固定资产台账；达到报废条件的设备，按照相关要求和程序，及时申请报废。</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黑体" w:hAnsi="黑体" w:eastAsia="黑体" w:cs="黑体"/>
          <w:sz w:val="32"/>
          <w:szCs w:val="32"/>
          <w:shd w:val="clear" w:color="auto" w:fill="FFFFFF"/>
          <w:lang w:val="en-US" w:eastAsia="zh-CN"/>
        </w:rPr>
        <w:t>五、审计调查发现问题的整改情况</w:t>
      </w:r>
    </w:p>
    <w:p>
      <w:pPr>
        <w:pStyle w:val="4"/>
        <w:spacing w:line="579" w:lineRule="exact"/>
        <w:ind w:firstLine="64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针对发现的审计问题，滑县审计局已依法出具了专项审计调查报告，并提出了处理意见和整改建议。</w:t>
      </w:r>
    </w:p>
    <w:p>
      <w:pPr>
        <w:keepLines w:val="0"/>
        <w:pageBreakBefore w:val="0"/>
        <w:widowControl w:val="0"/>
        <w:kinsoku/>
        <w:wordWrap/>
        <w:overflowPunct/>
        <w:topLinePunct w:val="0"/>
        <w:autoSpaceDE/>
        <w:autoSpaceDN/>
        <w:bidi w:val="0"/>
        <w:spacing w:line="600" w:lineRule="exact"/>
        <w:ind w:firstLine="640" w:firstLineChars="200"/>
        <w:jc w:val="both"/>
        <w:textAlignment w:val="auto"/>
      </w:pPr>
      <w:r>
        <w:rPr>
          <w:rFonts w:hint="eastAsia" w:ascii="仿宋" w:hAnsi="仿宋" w:eastAsia="仿宋" w:cs="仿宋"/>
          <w:b w:val="0"/>
          <w:bCs w:val="0"/>
          <w:sz w:val="32"/>
          <w:szCs w:val="32"/>
          <w:highlight w:val="none"/>
          <w:lang w:val="en-US" w:eastAsia="zh-CN"/>
        </w:rPr>
        <w:t>目前，滑县人民医院已</w:t>
      </w:r>
      <w:r>
        <w:rPr>
          <w:rFonts w:hint="eastAsia" w:ascii="仿宋" w:hAnsi="仿宋" w:eastAsia="仿宋" w:cs="仿宋"/>
          <w:i w:val="0"/>
          <w:caps w:val="0"/>
          <w:spacing w:val="0"/>
          <w:kern w:val="2"/>
          <w:sz w:val="32"/>
          <w:szCs w:val="32"/>
          <w:shd w:val="clear" w:color="auto" w:fill="FFFFFF"/>
          <w:lang w:val="en-US" w:eastAsia="zh-CN" w:bidi="ar"/>
        </w:rPr>
        <w:t>深刻剖析审计指出的问题，逐条梳理，建立了问题清单、整改台账，明确责任领导、责任科室、整改措施和整改时限</w:t>
      </w:r>
      <w:r>
        <w:rPr>
          <w:rFonts w:hint="eastAsia" w:ascii="仿宋" w:hAnsi="仿宋" w:eastAsia="仿宋" w:cs="仿宋"/>
          <w:sz w:val="32"/>
          <w:szCs w:val="32"/>
          <w:lang w:val="en-US" w:eastAsia="zh-CN"/>
        </w:rPr>
        <w:t xml:space="preserve">，具体整改结果由滑县人民医院社会公告。                  </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国标仿宋-GB/T 2312">
    <w:altName w:val="方正仿宋_GBK"/>
    <w:panose1 w:val="020005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pt;mso-position-horizontal:right;mso-position-horizontal-relative:margin;mso-wrap-style:none;z-index:251659264;mso-width-relative:page;mso-height-relative:page;" filled="f" stroked="f" coordsize="21600,21600" o:gfxdata="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2tWtSdAAAAADAQAADwAAAAAA&#10;AAABACAAAAA4AAAAZHJzL2Rvd25yZXYueG1sUEsBAhQAFAAAAAgAh07iQPdsSnrMAQAAlwMAAA4A&#10;AAAAAAAAAQAgAAAANQEAAGRycy9lMm9Eb2MueG1sUEsFBgAAAAAGAAYAWQEAAHM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C9E96"/>
    <w:multiLevelType w:val="singleLevel"/>
    <w:tmpl w:val="7DAC9E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MDVhNWQwNmJkYmEyOTg1MDZmN2VmYmEwYTFjNGMifQ=="/>
  </w:docVars>
  <w:rsids>
    <w:rsidRoot w:val="15E77F1B"/>
    <w:rsid w:val="008C3CB1"/>
    <w:rsid w:val="01A4698D"/>
    <w:rsid w:val="01C40DDD"/>
    <w:rsid w:val="039833D3"/>
    <w:rsid w:val="04E62E18"/>
    <w:rsid w:val="064E0167"/>
    <w:rsid w:val="07442078"/>
    <w:rsid w:val="0AA43C12"/>
    <w:rsid w:val="0B462863"/>
    <w:rsid w:val="0B4B5CE1"/>
    <w:rsid w:val="0D86163D"/>
    <w:rsid w:val="10914580"/>
    <w:rsid w:val="13B7BF6A"/>
    <w:rsid w:val="15E77F1B"/>
    <w:rsid w:val="177F0CEB"/>
    <w:rsid w:val="1800023D"/>
    <w:rsid w:val="1E8F40C9"/>
    <w:rsid w:val="20BE2A44"/>
    <w:rsid w:val="215B0355"/>
    <w:rsid w:val="22B61C24"/>
    <w:rsid w:val="26633E71"/>
    <w:rsid w:val="2865079A"/>
    <w:rsid w:val="29212852"/>
    <w:rsid w:val="2E707EE7"/>
    <w:rsid w:val="2F8512FC"/>
    <w:rsid w:val="30DA1E47"/>
    <w:rsid w:val="32513C22"/>
    <w:rsid w:val="32713C1F"/>
    <w:rsid w:val="32AC6BA0"/>
    <w:rsid w:val="34AE06E2"/>
    <w:rsid w:val="35605657"/>
    <w:rsid w:val="391F110D"/>
    <w:rsid w:val="3A044E37"/>
    <w:rsid w:val="3C577B7C"/>
    <w:rsid w:val="3F406FEE"/>
    <w:rsid w:val="3FEC682B"/>
    <w:rsid w:val="41790595"/>
    <w:rsid w:val="425A2175"/>
    <w:rsid w:val="44006D4C"/>
    <w:rsid w:val="44B37349"/>
    <w:rsid w:val="4554734F"/>
    <w:rsid w:val="4D9760D1"/>
    <w:rsid w:val="4FA64C4B"/>
    <w:rsid w:val="4FFB415A"/>
    <w:rsid w:val="53486019"/>
    <w:rsid w:val="57412909"/>
    <w:rsid w:val="57421B0C"/>
    <w:rsid w:val="587B479B"/>
    <w:rsid w:val="58801DB1"/>
    <w:rsid w:val="58F14598"/>
    <w:rsid w:val="58FB0660"/>
    <w:rsid w:val="59273DC3"/>
    <w:rsid w:val="59675221"/>
    <w:rsid w:val="5CA12C27"/>
    <w:rsid w:val="5D333896"/>
    <w:rsid w:val="5DCF7A63"/>
    <w:rsid w:val="5EDC5CD9"/>
    <w:rsid w:val="614918DA"/>
    <w:rsid w:val="62652744"/>
    <w:rsid w:val="63147CC6"/>
    <w:rsid w:val="6406400A"/>
    <w:rsid w:val="64371EBE"/>
    <w:rsid w:val="65BA4B55"/>
    <w:rsid w:val="66682803"/>
    <w:rsid w:val="67ED11DA"/>
    <w:rsid w:val="68030A35"/>
    <w:rsid w:val="68C74F92"/>
    <w:rsid w:val="6904039B"/>
    <w:rsid w:val="69F0453B"/>
    <w:rsid w:val="6A3823D3"/>
    <w:rsid w:val="6B2F7D93"/>
    <w:rsid w:val="6E0A419F"/>
    <w:rsid w:val="6FCC03A0"/>
    <w:rsid w:val="70F640AA"/>
    <w:rsid w:val="71A87F57"/>
    <w:rsid w:val="725D6F93"/>
    <w:rsid w:val="756B1EDB"/>
    <w:rsid w:val="772A140E"/>
    <w:rsid w:val="788F2A26"/>
    <w:rsid w:val="79262C4E"/>
    <w:rsid w:val="7D6A5EA2"/>
    <w:rsid w:val="7F52610C"/>
    <w:rsid w:val="7FF6B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600" w:lineRule="exact"/>
      <w:outlineLvl w:val="0"/>
    </w:pPr>
    <w:rPr>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customStyle="1" w:styleId="4">
    <w:name w:val="样式1"/>
    <w:basedOn w:val="1"/>
    <w:qFormat/>
    <w:uiPriority w:val="0"/>
    <w:rPr>
      <w:b/>
      <w:color w:val="538135"/>
      <w:sz w:val="28"/>
    </w:rPr>
  </w:style>
  <w:style w:type="paragraph" w:styleId="5">
    <w:name w:val="Body Text"/>
    <w:basedOn w:val="1"/>
    <w:next w:val="1"/>
    <w:qFormat/>
    <w:uiPriority w:val="0"/>
    <w:pPr>
      <w:ind w:right="214"/>
    </w:pPr>
    <w:rPr>
      <w:rFonts w:ascii="仿宋_GB2312" w:eastAsia="仿宋_GB2312"/>
      <w:sz w:val="32"/>
    </w:rPr>
  </w:style>
  <w:style w:type="paragraph" w:styleId="6">
    <w:name w:val="footer"/>
    <w:basedOn w:val="1"/>
    <w:unhideWhenUsed/>
    <w:qFormat/>
    <w:uiPriority w:val="0"/>
    <w:pPr>
      <w:tabs>
        <w:tab w:val="center" w:pos="4153"/>
        <w:tab w:val="right" w:pos="8306"/>
      </w:tabs>
      <w:snapToGrid w:val="0"/>
      <w:jc w:val="left"/>
    </w:pPr>
    <w:rPr>
      <w:sz w:val="18"/>
    </w:rPr>
  </w:style>
  <w:style w:type="paragraph" w:styleId="7">
    <w:name w:val="footnote text"/>
    <w:basedOn w:val="1"/>
    <w:next w:val="1"/>
    <w:qFormat/>
    <w:uiPriority w:val="0"/>
    <w:pPr>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663</Words>
  <Characters>702</Characters>
  <Lines>0</Lines>
  <Paragraphs>0</Paragraphs>
  <TotalTime>0</TotalTime>
  <ScaleCrop>false</ScaleCrop>
  <LinksUpToDate>false</LinksUpToDate>
  <CharactersWithSpaces>733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2023-12-26T01:55:00Z</dcterms:created>
  <dc:creator>阳</dc:creator>
  <cp:lastModifiedBy>user</cp:lastModifiedBy>
  <dcterms:modified xsi:type="dcterms:W3CDTF">2026-05-12T09:08:21Z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C67574F0A4DB61B94CE8EA695E867614</vt:lpwstr>
  </property>
  <property fmtid="{D5CDD505-2E9C-101B-9397-08002B2CF9AE}" pid="4" name="KSOTemplateDocerSaveRecord">
    <vt:lpwstr>eyJoZGlkIjoiMWJjZDE2YTc3NmQzMWVjMGQ0Yjc1OGMwNGQ2ZTI1ZDMiLCJ1c2VySWQiOiIxNTk1MjkyNjIxIn0=</vt:lpwstr>
  </property>
</Properties>
</file>