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28</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w:t>
      </w:r>
      <w:bookmarkStart w:id="0" w:name="_GoBack"/>
      <w:bookmarkEnd w:id="0"/>
      <w:r>
        <w:rPr>
          <w:rFonts w:hint="eastAsia" w:ascii="宋体" w:hAnsi="宋体" w:eastAsia="宋体" w:cs="宋体"/>
          <w:color w:val="000000"/>
          <w:sz w:val="21"/>
          <w:szCs w:val="21"/>
          <w:shd w:val="clear" w:color="auto" w:fill="FFFFFF"/>
        </w:rPr>
        <w:t>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滑县农村公路</w:t>
            </w:r>
            <w:r>
              <w:rPr>
                <w:rFonts w:hint="eastAsia" w:ascii="Times New Roman" w:hAnsi="Times New Roman"/>
                <w:color w:val="000000"/>
                <w:sz w:val="18"/>
                <w:szCs w:val="18"/>
                <w:lang w:val="en-US" w:eastAsia="zh-CN"/>
              </w:rPr>
              <w:t>事务中心</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滑县X008军牛线（S305-S306段）改扩建工程</w:t>
            </w:r>
            <w:r>
              <w:rPr>
                <w:rFonts w:hint="eastAsia" w:ascii="Times New Roman" w:hAnsi="Times New Roman"/>
                <w:color w:val="000000"/>
                <w:sz w:val="18"/>
                <w:szCs w:val="18"/>
                <w:lang w:eastAsia="zh-CN"/>
              </w:rPr>
              <w:t>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DFB7029">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 xml:space="preserve">起点位于滑县锦和街道办军旅庄 </w:t>
            </w:r>
            <w:r>
              <w:rPr>
                <w:rFonts w:hint="default" w:ascii="Times New Roman" w:hAnsi="Times New Roman"/>
                <w:color w:val="000000"/>
                <w:sz w:val="18"/>
                <w:szCs w:val="18"/>
                <w:lang w:val="en-US" w:eastAsia="zh-CN"/>
              </w:rPr>
              <w:t>S305</w:t>
            </w:r>
            <w:r>
              <w:rPr>
                <w:rFonts w:hint="eastAsia" w:ascii="Times New Roman" w:hAnsi="Times New Roman"/>
                <w:color w:val="000000"/>
                <w:sz w:val="18"/>
                <w:szCs w:val="18"/>
                <w:lang w:val="en-US" w:eastAsia="zh-CN"/>
              </w:rPr>
              <w:t xml:space="preserve">（南环路）上 </w:t>
            </w:r>
            <w:r>
              <w:rPr>
                <w:rFonts w:hint="default" w:ascii="Times New Roman" w:hAnsi="Times New Roman"/>
                <w:color w:val="000000"/>
                <w:sz w:val="18"/>
                <w:szCs w:val="18"/>
                <w:lang w:val="en-US" w:eastAsia="zh-CN"/>
              </w:rPr>
              <w:t xml:space="preserve">X008 </w:t>
            </w:r>
            <w:r>
              <w:rPr>
                <w:rFonts w:hint="eastAsia" w:ascii="Times New Roman" w:hAnsi="Times New Roman"/>
                <w:color w:val="000000"/>
                <w:sz w:val="18"/>
                <w:szCs w:val="18"/>
                <w:lang w:val="en-US" w:eastAsia="zh-CN"/>
              </w:rPr>
              <w:t xml:space="preserve">与南环路交叉 </w:t>
            </w:r>
          </w:p>
          <w:p w14:paraId="611D774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 xml:space="preserve">口，起点桩号 </w:t>
            </w:r>
            <w:r>
              <w:rPr>
                <w:rFonts w:hint="default" w:ascii="Times New Roman" w:hAnsi="Times New Roman"/>
                <w:color w:val="000000"/>
                <w:sz w:val="18"/>
                <w:szCs w:val="18"/>
                <w:lang w:val="en-US" w:eastAsia="zh-CN"/>
              </w:rPr>
              <w:t>K0+000</w:t>
            </w:r>
            <w:r>
              <w:rPr>
                <w:rFonts w:hint="eastAsia" w:ascii="Times New Roman" w:hAnsi="Times New Roman"/>
                <w:color w:val="000000"/>
                <w:sz w:val="18"/>
                <w:szCs w:val="18"/>
                <w:lang w:val="en-US" w:eastAsia="zh-CN"/>
              </w:rPr>
              <w:t xml:space="preserve">，路线向南，依次下穿滑县专用铁路、濮卫高速、安罗高速后到达终点，终点位于老店镇 </w:t>
            </w:r>
            <w:r>
              <w:rPr>
                <w:rFonts w:hint="default" w:ascii="Times New Roman" w:hAnsi="Times New Roman"/>
                <w:color w:val="000000"/>
                <w:sz w:val="18"/>
                <w:szCs w:val="18"/>
                <w:lang w:val="en-US" w:eastAsia="zh-CN"/>
              </w:rPr>
              <w:t xml:space="preserve">X008 </w:t>
            </w:r>
            <w:r>
              <w:rPr>
                <w:rFonts w:hint="eastAsia" w:ascii="Times New Roman" w:hAnsi="Times New Roman"/>
                <w:color w:val="000000"/>
                <w:sz w:val="18"/>
                <w:szCs w:val="18"/>
                <w:lang w:val="en-US" w:eastAsia="zh-CN"/>
              </w:rPr>
              <w:t xml:space="preserve">与 </w:t>
            </w:r>
            <w:r>
              <w:rPr>
                <w:rFonts w:hint="default" w:ascii="Times New Roman" w:hAnsi="Times New Roman"/>
                <w:color w:val="000000"/>
                <w:sz w:val="18"/>
                <w:szCs w:val="18"/>
                <w:lang w:val="en-US" w:eastAsia="zh-CN"/>
              </w:rPr>
              <w:t xml:space="preserve">S306 </w:t>
            </w:r>
            <w:r>
              <w:rPr>
                <w:rFonts w:hint="eastAsia" w:ascii="Times New Roman" w:hAnsi="Times New Roman"/>
                <w:color w:val="000000"/>
                <w:sz w:val="18"/>
                <w:szCs w:val="18"/>
                <w:lang w:val="en-US" w:eastAsia="zh-CN"/>
              </w:rPr>
              <w:t xml:space="preserve">交叉口 </w:t>
            </w:r>
            <w:r>
              <w:rPr>
                <w:rFonts w:hint="default" w:ascii="Times New Roman" w:hAnsi="Times New Roman"/>
                <w:color w:val="000000"/>
                <w:sz w:val="18"/>
                <w:szCs w:val="18"/>
                <w:lang w:val="en-US" w:eastAsia="zh-CN"/>
              </w:rPr>
              <w:t xml:space="preserve">S306 </w:t>
            </w:r>
            <w:r>
              <w:rPr>
                <w:rFonts w:hint="eastAsia" w:ascii="Times New Roman" w:hAnsi="Times New Roman"/>
                <w:color w:val="000000"/>
                <w:sz w:val="18"/>
                <w:szCs w:val="18"/>
                <w:lang w:val="en-US" w:eastAsia="zh-CN"/>
              </w:rPr>
              <w:t xml:space="preserve">上，终点桩号 </w:t>
            </w:r>
            <w:r>
              <w:rPr>
                <w:rFonts w:hint="default" w:ascii="Times New Roman" w:hAnsi="Times New Roman"/>
                <w:color w:val="000000"/>
                <w:sz w:val="18"/>
                <w:szCs w:val="18"/>
                <w:lang w:val="en-US" w:eastAsia="zh-CN"/>
              </w:rPr>
              <w:t>K7+323.600</w:t>
            </w:r>
            <w:r>
              <w:rPr>
                <w:rFonts w:hint="eastAsia" w:ascii="Times New Roman" w:hAnsi="Times New Roman"/>
                <w:color w:val="000000"/>
                <w:sz w:val="18"/>
                <w:szCs w:val="18"/>
                <w:lang w:val="en-US" w:eastAsia="zh-CN"/>
              </w:rPr>
              <w:t xml:space="preserve">，路线全长 </w:t>
            </w:r>
            <w:r>
              <w:rPr>
                <w:rFonts w:hint="default" w:ascii="Times New Roman" w:hAnsi="Times New Roman"/>
                <w:color w:val="000000"/>
                <w:sz w:val="18"/>
                <w:szCs w:val="18"/>
                <w:lang w:val="en-US" w:eastAsia="zh-CN"/>
              </w:rPr>
              <w:t xml:space="preserve">7.3236 </w:t>
            </w:r>
            <w:r>
              <w:rPr>
                <w:rFonts w:hint="eastAsia" w:ascii="Times New Roman" w:hAnsi="Times New Roman"/>
                <w:color w:val="000000"/>
                <w:sz w:val="18"/>
                <w:szCs w:val="18"/>
                <w:lang w:val="en-US" w:eastAsia="zh-CN"/>
              </w:rPr>
              <w:t>公里</w:t>
            </w:r>
          </w:p>
          <w:p w14:paraId="03A0EC25">
            <w:pPr>
              <w:pStyle w:val="12"/>
              <w:widowControl/>
              <w:spacing w:beforeAutospacing="0" w:afterAutospacing="0" w:line="300" w:lineRule="atLeast"/>
              <w:jc w:val="center"/>
              <w:rPr>
                <w:rFonts w:ascii="Times New Roman" w:hAnsi="Times New Roman"/>
                <w:color w:val="000000"/>
                <w:sz w:val="18"/>
                <w:szCs w:val="18"/>
              </w:rPr>
            </w:pP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青盟科技环保</w:t>
            </w:r>
            <w:r>
              <w:rPr>
                <w:rFonts w:hint="eastAsia"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17C6EA9">
            <w:pPr>
              <w:pStyle w:val="12"/>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12456.18</w:t>
            </w:r>
          </w:p>
          <w:p w14:paraId="7DFA02A2">
            <w:pPr>
              <w:keepNext w:val="0"/>
              <w:keepLines w:val="0"/>
              <w:widowControl/>
              <w:suppressLineNumbers w:val="0"/>
              <w:jc w:val="left"/>
            </w:pPr>
            <w:r>
              <w:rPr>
                <w:rFonts w:hint="eastAsia" w:ascii="Times New Roman" w:hAnsi="Times New Roman"/>
                <w:color w:val="000000"/>
                <w:sz w:val="18"/>
                <w:szCs w:val="18"/>
              </w:rPr>
              <w:t>万元，环保投资</w:t>
            </w:r>
            <w:r>
              <w:rPr>
                <w:rFonts w:hint="default" w:ascii="Times New Roman" w:hAnsi="Times New Roman" w:cs="Times New Roman" w:eastAsiaTheme="minorEastAsia"/>
                <w:color w:val="000000"/>
                <w:kern w:val="0"/>
                <w:sz w:val="18"/>
                <w:szCs w:val="18"/>
                <w:lang w:val="en-US" w:eastAsia="zh-CN" w:bidi="ar-SA"/>
              </w:rPr>
              <w:t>105</w:t>
            </w:r>
          </w:p>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3C6303F">
            <w:pPr>
              <w:keepNext w:val="0"/>
              <w:keepLines w:val="0"/>
              <w:widowControl/>
              <w:numPr>
                <w:ilvl w:val="0"/>
                <w:numId w:val="2"/>
              </w:numPr>
              <w:suppressLineNumbers w:val="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废气：在施工现场周边建2.5m 高的施工围挡；对开挖后的临时堆存的土方、弃渣等及时进行覆盖，确保无裸露土方、地面百分百覆盖；对施工场地进行洒水喷淋抑尘；渣土运 输车辆密闭车斗，并保证物料不遗撒外漏，车辆驶出施工场地时对车轮进行冲刷。 项目施工期间严格落实施工工地“六个百分百”。</w:t>
            </w:r>
          </w:p>
          <w:p w14:paraId="7E93324C">
            <w:pPr>
              <w:keepNext w:val="0"/>
              <w:keepLines w:val="0"/>
              <w:widowControl/>
              <w:numPr>
                <w:ilvl w:val="0"/>
                <w:numId w:val="2"/>
              </w:numPr>
              <w:suppressLineNumbers w:val="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施工机械及车辆冲洗废水收集后经沉淀池沉淀处理后回用于设备冲洗或洒水降尘，不外排；施工场地的砂石料冲洗废水经多级沉淀池沉淀处理后回用于场区绿化、抑尘，不外排；施工人员生活污水部分施工人员来自于周边居民，其余施工人员租用当地民房。</w:t>
            </w:r>
          </w:p>
          <w:p w14:paraId="49A848BA">
            <w:pPr>
              <w:keepNext w:val="0"/>
              <w:keepLines w:val="0"/>
              <w:widowControl/>
              <w:numPr>
                <w:ilvl w:val="0"/>
                <w:numId w:val="2"/>
              </w:numPr>
              <w:suppressLineNumbers w:val="0"/>
              <w:ind w:left="0" w:leftChars="0" w:firstLine="0" w:firstLineChars="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建设过程中建筑垃圾应分类后回收利用，无利用价值的废弃物应按要求运往当地建筑垃圾堆放场（政府指定场所）工程弃方清运至市容环境主管部门审定场地，本项目不设置临时</w:t>
            </w:r>
          </w:p>
          <w:p w14:paraId="496FBB8B">
            <w:pPr>
              <w:keepNext w:val="0"/>
              <w:keepLines w:val="0"/>
              <w:widowControl/>
              <w:numPr>
                <w:numId w:val="0"/>
              </w:numPr>
              <w:suppressLineNumbers w:val="0"/>
              <w:ind w:leftChars="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弃土弃渣堆场；废水性脱模剂桶在施工场地暂存后定期由厂家回收处理。</w:t>
            </w:r>
          </w:p>
          <w:p w14:paraId="0246D932">
            <w:pPr>
              <w:keepNext w:val="0"/>
              <w:keepLines w:val="0"/>
              <w:widowControl/>
              <w:numPr>
                <w:ilvl w:val="0"/>
                <w:numId w:val="2"/>
              </w:numPr>
              <w:suppressLineNumbers w:val="0"/>
              <w:ind w:left="0" w:leftChars="0" w:firstLine="0" w:firstLineChars="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在进行邻近道路周边敏感点附近路段施工时，施工场地需优化高噪设备布局，使其尽量远离环境敏感点和施工场界；在噪声源和敏感点之间，靠近噪声源一侧加移动式临时隔音屏，确保周围居民生活质量；合理安排工作时间，禁止夜间进行施工作业，确需夜间施工，须按国家有关规定及时办理夜间施工的有关手续，且采取相应的降噪措施，降低施工噪声对环境</w:t>
            </w:r>
          </w:p>
          <w:p w14:paraId="416CB4A4">
            <w:pPr>
              <w:keepNext w:val="0"/>
              <w:keepLines w:val="0"/>
              <w:widowControl/>
              <w:numPr>
                <w:numId w:val="0"/>
              </w:numPr>
              <w:suppressLineNumbers w:val="0"/>
              <w:ind w:leftChars="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的影响；加强施工的管理，使装卸和搬运建筑材料的地点远离场界。</w:t>
            </w:r>
          </w:p>
          <w:p w14:paraId="634CFC6C">
            <w:pPr>
              <w:keepNext w:val="0"/>
              <w:keepLines w:val="0"/>
              <w:widowControl/>
              <w:numPr>
                <w:numId w:val="0"/>
              </w:numPr>
              <w:suppressLineNumbers w:val="0"/>
              <w:ind w:leftChars="0"/>
              <w:jc w:val="left"/>
              <w:rPr>
                <w:rFonts w:hint="eastAsia" w:ascii="Times New Roman" w:hAnsi="Times New Roman" w:cs="Times New Roman"/>
                <w:color w:val="000000"/>
                <w:sz w:val="18"/>
                <w:szCs w:val="18"/>
                <w:lang w:val="en-US" w:eastAsia="zh-CN"/>
              </w:rPr>
            </w:pPr>
          </w:p>
          <w:p w14:paraId="22C9A8A0">
            <w:pPr>
              <w:pStyle w:val="12"/>
              <w:widowControl/>
              <w:spacing w:beforeAutospacing="0" w:afterAutospacing="0" w:line="300" w:lineRule="atLeast"/>
              <w:jc w:val="center"/>
              <w:rPr>
                <w:rFonts w:hint="eastAsia" w:ascii="Times New Roman" w:hAnsi="Times New Roman" w:cs="Times New Roman"/>
                <w:color w:val="000000"/>
                <w:sz w:val="18"/>
                <w:szCs w:val="18"/>
                <w:lang w:val="en-US" w:eastAsia="zh-CN"/>
              </w:rPr>
            </w:pPr>
          </w:p>
          <w:p w14:paraId="0F82EA2D">
            <w:pPr>
              <w:spacing w:line="620" w:lineRule="exact"/>
              <w:ind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04FAFF"/>
    <w:multiLevelType w:val="singleLevel"/>
    <w:tmpl w:val="2D04FAF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1"/>
    <w:qFormat/>
    <w:uiPriority w:val="0"/>
    <w:rPr>
      <w:b/>
      <w:bCs/>
      <w:sz w:val="24"/>
    </w:rPr>
  </w:style>
  <w:style w:type="paragraph" w:styleId="7">
    <w:name w:val="Body Text Indent"/>
    <w:basedOn w:val="1"/>
    <w:next w:val="1"/>
    <w:qFormat/>
    <w:uiPriority w:val="0"/>
    <w:pPr>
      <w:ind w:left="420" w:leftChars="200"/>
    </w:pPr>
  </w:style>
  <w:style w:type="paragraph" w:styleId="8">
    <w:name w:val="Block Text"/>
    <w:basedOn w:val="1"/>
    <w:next w:val="1"/>
    <w:qFormat/>
    <w:uiPriority w:val="0"/>
    <w:pPr>
      <w:spacing w:line="320" w:lineRule="exact"/>
      <w:ind w:left="113" w:right="113"/>
      <w:jc w:val="center"/>
    </w:pPr>
    <w:rPr>
      <w:b/>
      <w:sz w:val="13"/>
      <w:szCs w:val="15"/>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7"/>
    <w:next w:val="1"/>
    <w:qFormat/>
    <w:uiPriority w:val="0"/>
    <w:pPr>
      <w:ind w:firstLine="200" w:firstLineChars="200"/>
    </w:pPr>
    <w:rPr>
      <w:szCs w:val="21"/>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Default"/>
    <w:basedOn w:val="1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9">
    <w:name w:val="纯文本1"/>
    <w:basedOn w:val="1"/>
    <w:qFormat/>
    <w:uiPriority w:val="0"/>
    <w:pPr>
      <w:adjustRightInd w:val="0"/>
    </w:pPr>
    <w:rPr>
      <w:rFonts w:ascii="宋体" w:hAnsi="Courier New"/>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1088</Words>
  <Characters>1226</Characters>
  <Lines>1</Lines>
  <Paragraphs>2</Paragraphs>
  <TotalTime>48</TotalTime>
  <ScaleCrop>false</ScaleCrop>
  <LinksUpToDate>false</LinksUpToDate>
  <CharactersWithSpaces>1240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2025-06-06T01:45:40Z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