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F9F3EC">
      <w:pPr>
        <w:pStyle w:val="11"/>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w:t>
      </w:r>
      <w:r>
        <w:rPr>
          <w:rFonts w:hint="eastAsia" w:ascii="方正小标宋简体" w:hAnsi="方正小标宋简体" w:eastAsia="方正小标宋简体" w:cs="方正小标宋简体"/>
          <w:color w:val="333333"/>
          <w:sz w:val="30"/>
          <w:szCs w:val="30"/>
          <w:lang w:val="en-US" w:eastAsia="zh-CN"/>
        </w:rPr>
        <w:t>3</w:t>
      </w:r>
      <w:r>
        <w:rPr>
          <w:rFonts w:hint="eastAsia" w:ascii="方正小标宋简体" w:hAnsi="方正小标宋简体" w:eastAsia="方正小标宋简体" w:cs="方正小标宋简体"/>
          <w:color w:val="333333"/>
          <w:sz w:val="30"/>
          <w:szCs w:val="30"/>
        </w:rPr>
        <w:t>月</w:t>
      </w:r>
      <w:r>
        <w:rPr>
          <w:rFonts w:hint="eastAsia" w:ascii="方正小标宋简体" w:hAnsi="方正小标宋简体" w:eastAsia="方正小标宋简体" w:cs="方正小标宋简体"/>
          <w:color w:val="333333"/>
          <w:sz w:val="30"/>
          <w:szCs w:val="30"/>
          <w:lang w:val="en-US" w:eastAsia="zh-CN"/>
        </w:rPr>
        <w:t>26</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31873AF7">
      <w:pPr>
        <w:pStyle w:val="11"/>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360C7337">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w:t>
      </w:r>
      <w:r>
        <w:rPr>
          <w:rFonts w:hint="eastAsia" w:ascii="宋体" w:hAnsi="宋体" w:eastAsia="宋体" w:cs="宋体"/>
          <w:color w:val="000000"/>
          <w:sz w:val="21"/>
          <w:szCs w:val="21"/>
          <w:shd w:val="clear" w:color="auto" w:fill="FFFFFF"/>
          <w:lang w:val="en-US" w:eastAsia="zh-CN"/>
        </w:rPr>
        <w:t>3</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26</w:t>
      </w:r>
      <w:r>
        <w:rPr>
          <w:rFonts w:hint="eastAsia" w:ascii="宋体" w:hAnsi="宋体" w:eastAsia="宋体" w:cs="宋体"/>
          <w:color w:val="000000"/>
          <w:sz w:val="21"/>
          <w:szCs w:val="21"/>
          <w:shd w:val="clear" w:color="auto" w:fill="FFFFFF"/>
        </w:rPr>
        <w:t>日－2025年</w:t>
      </w:r>
      <w:r>
        <w:rPr>
          <w:rFonts w:hint="eastAsia" w:ascii="宋体" w:hAnsi="宋体" w:eastAsia="宋体" w:cs="宋体"/>
          <w:color w:val="000000"/>
          <w:sz w:val="21"/>
          <w:szCs w:val="21"/>
          <w:shd w:val="clear" w:color="auto" w:fill="FFFFFF"/>
          <w:lang w:val="en-US" w:eastAsia="zh-CN"/>
        </w:rPr>
        <w:t>4</w:t>
      </w:r>
      <w:r>
        <w:rPr>
          <w:rFonts w:hint="eastAsia" w:ascii="宋体" w:hAnsi="宋体" w:eastAsia="宋体" w:cs="宋体"/>
          <w:color w:val="000000"/>
          <w:sz w:val="21"/>
          <w:szCs w:val="21"/>
          <w:shd w:val="clear" w:color="auto" w:fill="FFFFFF"/>
        </w:rPr>
        <w:t>月</w:t>
      </w:r>
      <w:r>
        <w:rPr>
          <w:rFonts w:hint="eastAsia" w:ascii="宋体" w:hAnsi="宋体" w:eastAsia="宋体" w:cs="宋体"/>
          <w:color w:val="000000"/>
          <w:sz w:val="21"/>
          <w:szCs w:val="21"/>
          <w:shd w:val="clear" w:color="auto" w:fill="FFFFFF"/>
          <w:lang w:val="en-US" w:eastAsia="zh-CN"/>
        </w:rPr>
        <w:t>1</w:t>
      </w:r>
      <w:r>
        <w:rPr>
          <w:rFonts w:hint="eastAsia" w:ascii="宋体" w:hAnsi="宋体" w:eastAsia="宋体" w:cs="宋体"/>
          <w:color w:val="000000"/>
          <w:sz w:val="21"/>
          <w:szCs w:val="21"/>
          <w:shd w:val="clear" w:color="auto" w:fill="FFFFFF"/>
        </w:rPr>
        <w:t>日（5个工作日）。</w:t>
      </w:r>
    </w:p>
    <w:p w14:paraId="2D1E6244">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3CA7B0A7">
      <w:pPr>
        <w:pStyle w:val="11"/>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064A9D65">
      <w:pPr>
        <w:pStyle w:val="11"/>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听证告知：依据《中华人民共和国行政许可法》，自公示起五个工作日内申请人、有重大利益关系的利害关系人可对以下拟作出的建设项目环境影响评价文件批复决定要求听证。</w:t>
      </w:r>
    </w:p>
    <w:p w14:paraId="4C1571E5">
      <w:pPr>
        <w:pStyle w:val="11"/>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3"/>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1B6AF622">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46389295">
            <w:pPr>
              <w:pStyle w:val="11"/>
              <w:widowControl/>
              <w:spacing w:beforeAutospacing="0" w:afterAutospacing="0" w:line="300" w:lineRule="atLeast"/>
              <w:jc w:val="center"/>
            </w:pPr>
            <w:r>
              <w:rPr>
                <w:rStyle w:val="15"/>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A6D56FF">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1339E5AA">
            <w:pPr>
              <w:pStyle w:val="11"/>
              <w:widowControl/>
              <w:spacing w:beforeAutospacing="0" w:afterAutospacing="0" w:line="300" w:lineRule="atLeast"/>
              <w:jc w:val="center"/>
            </w:pPr>
            <w:r>
              <w:rPr>
                <w:rStyle w:val="15"/>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42F3C93">
            <w:pPr>
              <w:pStyle w:val="11"/>
              <w:widowControl/>
              <w:spacing w:beforeAutospacing="0" w:afterAutospacing="0" w:line="300" w:lineRule="atLeast"/>
              <w:jc w:val="center"/>
            </w:pPr>
            <w:r>
              <w:rPr>
                <w:rStyle w:val="15"/>
                <w:rFonts w:hint="eastAsia" w:ascii="宋体" w:hAnsi="宋体" w:eastAsia="宋体" w:cs="宋体"/>
                <w:color w:val="000000"/>
                <w:sz w:val="18"/>
                <w:szCs w:val="18"/>
              </w:rPr>
              <w:t>项目</w:t>
            </w:r>
          </w:p>
          <w:p w14:paraId="7E5DF5B1">
            <w:pPr>
              <w:pStyle w:val="11"/>
              <w:widowControl/>
              <w:spacing w:beforeAutospacing="0" w:afterAutospacing="0" w:line="300" w:lineRule="atLeast"/>
              <w:jc w:val="center"/>
            </w:pPr>
            <w:r>
              <w:rPr>
                <w:rStyle w:val="15"/>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B73F086">
            <w:pPr>
              <w:pStyle w:val="11"/>
              <w:widowControl/>
              <w:spacing w:beforeAutospacing="0" w:afterAutospacing="0" w:line="300" w:lineRule="atLeast"/>
              <w:jc w:val="center"/>
            </w:pPr>
            <w:r>
              <w:rPr>
                <w:rStyle w:val="15"/>
                <w:rFonts w:hint="eastAsia" w:ascii="宋体" w:hAnsi="宋体" w:eastAsia="宋体" w:cs="宋体"/>
                <w:color w:val="000000"/>
                <w:sz w:val="18"/>
                <w:szCs w:val="18"/>
              </w:rPr>
              <w:t>建设</w:t>
            </w:r>
          </w:p>
          <w:p w14:paraId="4B8A5D09">
            <w:pPr>
              <w:pStyle w:val="11"/>
              <w:widowControl/>
              <w:spacing w:beforeAutospacing="0" w:afterAutospacing="0" w:line="300" w:lineRule="atLeast"/>
              <w:jc w:val="center"/>
            </w:pPr>
            <w:r>
              <w:rPr>
                <w:rStyle w:val="15"/>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2B505EB">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DB1C474">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建设项目</w:t>
            </w:r>
          </w:p>
          <w:p w14:paraId="4FEF72F4">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778518D">
            <w:pPr>
              <w:pStyle w:val="11"/>
              <w:widowControl/>
              <w:spacing w:beforeAutospacing="0" w:afterAutospacing="0" w:line="300" w:lineRule="atLeast"/>
              <w:jc w:val="center"/>
            </w:pPr>
            <w:r>
              <w:rPr>
                <w:rStyle w:val="15"/>
                <w:rFonts w:hint="eastAsia" w:ascii="宋体" w:hAnsi="宋体" w:eastAsia="宋体" w:cs="宋体"/>
                <w:color w:val="000000"/>
                <w:sz w:val="18"/>
                <w:szCs w:val="18"/>
                <w:shd w:val="clear" w:color="auto" w:fill="FFFFFF"/>
              </w:rPr>
              <w:t>主要环境影响及预防或减轻不良环境影响的对策和措施</w:t>
            </w:r>
          </w:p>
        </w:tc>
      </w:tr>
      <w:tr w14:paraId="3FB069ED">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4B16B136">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A80D71E">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滑县伟力板材厂</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0DB9919">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年产1400吨PE板材扩建项目</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B92A59E">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滑县上官镇徐阳城村北侧109米处</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C1CE407">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河南邦驰环保科技有限公司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DF9AF2D">
            <w:pPr>
              <w:pStyle w:val="11"/>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新增占地面积为780m</w:t>
            </w:r>
            <w:r>
              <w:rPr>
                <w:rFonts w:hint="eastAsia" w:ascii="Times New Roman" w:hAnsi="Times New Roman"/>
                <w:color w:val="000000"/>
                <w:sz w:val="18"/>
                <w:szCs w:val="18"/>
                <w:vertAlign w:val="superscript"/>
              </w:rPr>
              <w:t>2</w:t>
            </w:r>
            <w:r>
              <w:rPr>
                <w:rFonts w:hint="eastAsia" w:ascii="Times New Roman" w:hAnsi="Times New Roman"/>
                <w:color w:val="000000"/>
                <w:sz w:val="18"/>
                <w:szCs w:val="18"/>
              </w:rPr>
              <w:t>，总投资300万元，环保投资18万元。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56EA121C">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1. 废气：破碎工序进行二次密闭，废气由集气罩收集经覆膜袋式除尘器处理后</w:t>
            </w:r>
            <w:bookmarkStart w:id="0" w:name="_GoBack"/>
            <w:bookmarkEnd w:id="0"/>
            <w:r>
              <w:rPr>
                <w:rFonts w:hint="eastAsia" w:ascii="Times New Roman" w:hAnsi="Times New Roman"/>
                <w:color w:val="000000"/>
                <w:sz w:val="18"/>
                <w:szCs w:val="18"/>
              </w:rPr>
              <w:t>通过15米高排气筒排放；挤出废气由集气罩收集，四周加装软帘，经“两级活性炭吸附”处理后，通过15m高排气筒排放。废气排放须满足《合成树脂工业污染物排放标准》（GB31572-2015）（含2024年修改单）表5及表9浓度限值、《河南省重污染天气重点行业应急减排措施制定技术指南（2024年修订版）》中塑料制品行业A级指标要求、《挥发性有机物无组织排放控制标准》（GB37822-2019）限值要求、《关于全省开展工业企业挥发性有机物专项治理工作中排放建议值的通知》（豫环攻坚办〔2017〕162号）要求及《安阳市2019年工业大气污染治理5个专项实施方案》（安环攻坚办〔2019〕196号）要求。</w:t>
            </w:r>
          </w:p>
          <w:p w14:paraId="1735EB59">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2.废水：冷却水循环使用，水池内定期排出的废水用于厂区洒水降尘；生活废水经3m3化粪池处理后由建设单位定期清掏用于肥田。</w:t>
            </w:r>
          </w:p>
          <w:p w14:paraId="51204519">
            <w:pPr>
              <w:spacing w:line="620" w:lineRule="exact"/>
              <w:ind w:firstLine="360" w:firstLineChars="200"/>
              <w:jc w:val="left"/>
              <w:rPr>
                <w:rFonts w:hint="eastAsia" w:ascii="Times New Roman" w:hAnsi="Times New Roman"/>
                <w:color w:val="000000"/>
                <w:sz w:val="18"/>
                <w:szCs w:val="18"/>
              </w:rPr>
            </w:pPr>
            <w:r>
              <w:rPr>
                <w:rFonts w:hint="eastAsia" w:ascii="Times New Roman" w:hAnsi="Times New Roman"/>
                <w:color w:val="000000"/>
                <w:sz w:val="18"/>
                <w:szCs w:val="18"/>
              </w:rPr>
              <w:t>3.噪声：挤出机、混料机、切割机、破碎机、三辊压光机、裁断机、风机等设备运行时产生的噪声，采用基础减震、厂房隔声等措施后，厂界噪声排放须满足《工业企业厂界环境噪声排放标准》（GB12348-2008）2类标准。</w:t>
            </w:r>
          </w:p>
          <w:p w14:paraId="43A69FAC">
            <w:pPr>
              <w:spacing w:line="620" w:lineRule="exact"/>
              <w:ind w:firstLine="360" w:firstLineChars="200"/>
              <w:jc w:val="left"/>
              <w:rPr>
                <w:rFonts w:ascii="Times New Roman" w:hAnsi="Times New Roman"/>
                <w:color w:val="000000"/>
                <w:sz w:val="18"/>
                <w:szCs w:val="18"/>
              </w:rPr>
            </w:pPr>
            <w:r>
              <w:rPr>
                <w:rFonts w:hint="eastAsia" w:ascii="Times New Roman" w:hAnsi="Times New Roman"/>
                <w:color w:val="000000"/>
                <w:sz w:val="18"/>
                <w:szCs w:val="18"/>
                <w:lang w:val="en-US" w:eastAsia="zh-CN"/>
              </w:rPr>
              <w:t>4.</w:t>
            </w:r>
            <w:r>
              <w:rPr>
                <w:rFonts w:hint="eastAsia" w:ascii="Times New Roman" w:hAnsi="Times New Roman"/>
                <w:color w:val="000000"/>
                <w:sz w:val="18"/>
                <w:szCs w:val="18"/>
              </w:rPr>
              <w:t>固体废物：废边角料、不合格品、除尘灰、废包装袋收集后于10m2一般固废间暂存，分类处置；废活性炭、废液压油暂存于10m2危险废物暂存间，定期交由有资质单位处置；生活垃圾经垃圾桶收集后，交环卫部门统一处理。一般固体废物暂存应满足《一般工业固体废物贮存和填埋污染控制标准》（GB18599 -2020）要求，危险废物暂存应满足《危险废物贮存污染控制标准》（GB18597-2023）要求。</w:t>
            </w:r>
          </w:p>
        </w:tc>
      </w:tr>
    </w:tbl>
    <w:p w14:paraId="724B5CAD">
      <w:pPr>
        <w:pStyle w:val="11"/>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0"/>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191A76"/>
    <w:rsid w:val="00272D6F"/>
    <w:rsid w:val="002932FD"/>
    <w:rsid w:val="002D40B0"/>
    <w:rsid w:val="002F348A"/>
    <w:rsid w:val="00346272"/>
    <w:rsid w:val="0034687D"/>
    <w:rsid w:val="00351DEE"/>
    <w:rsid w:val="00424CC3"/>
    <w:rsid w:val="005227EA"/>
    <w:rsid w:val="0052598B"/>
    <w:rsid w:val="005901A6"/>
    <w:rsid w:val="005C56DB"/>
    <w:rsid w:val="00612AF7"/>
    <w:rsid w:val="00613302"/>
    <w:rsid w:val="007F6C56"/>
    <w:rsid w:val="00836AE6"/>
    <w:rsid w:val="00854859"/>
    <w:rsid w:val="00896DDB"/>
    <w:rsid w:val="008F6A17"/>
    <w:rsid w:val="00B101CB"/>
    <w:rsid w:val="00B21E60"/>
    <w:rsid w:val="00B72CC9"/>
    <w:rsid w:val="00B72D3B"/>
    <w:rsid w:val="00C53645"/>
    <w:rsid w:val="00CE0507"/>
    <w:rsid w:val="00CE3621"/>
    <w:rsid w:val="00D553BD"/>
    <w:rsid w:val="00D93271"/>
    <w:rsid w:val="00DB2F10"/>
    <w:rsid w:val="00E12EFF"/>
    <w:rsid w:val="00EB48B5"/>
    <w:rsid w:val="00FA45AC"/>
    <w:rsid w:val="00FB5EA4"/>
    <w:rsid w:val="00FD244D"/>
    <w:rsid w:val="09E6605D"/>
    <w:rsid w:val="126D0F3F"/>
    <w:rsid w:val="23BC64AB"/>
    <w:rsid w:val="28B71175"/>
    <w:rsid w:val="29F8185A"/>
    <w:rsid w:val="2ADD44ED"/>
    <w:rsid w:val="2C0676F0"/>
    <w:rsid w:val="2DC302F1"/>
    <w:rsid w:val="2DC86D5C"/>
    <w:rsid w:val="31811015"/>
    <w:rsid w:val="383B30F1"/>
    <w:rsid w:val="3A25474B"/>
    <w:rsid w:val="3B0E64B4"/>
    <w:rsid w:val="3E6B2E9F"/>
    <w:rsid w:val="3FAE1904"/>
    <w:rsid w:val="44D13161"/>
    <w:rsid w:val="47A4392B"/>
    <w:rsid w:val="4AA43B88"/>
    <w:rsid w:val="4DB91C07"/>
    <w:rsid w:val="4F2D1826"/>
    <w:rsid w:val="506B2B73"/>
    <w:rsid w:val="51C957E0"/>
    <w:rsid w:val="52376698"/>
    <w:rsid w:val="56C81A1D"/>
    <w:rsid w:val="56E408B3"/>
    <w:rsid w:val="591254C2"/>
    <w:rsid w:val="5AC029C4"/>
    <w:rsid w:val="5F050D4A"/>
    <w:rsid w:val="62712768"/>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Autospacing="1" w:afterAutospacing="1"/>
      <w:jc w:val="center"/>
      <w:outlineLvl w:val="0"/>
    </w:pPr>
    <w:rPr>
      <w:b/>
      <w:kern w:val="44"/>
      <w:sz w:val="44"/>
    </w:rPr>
  </w:style>
  <w:style w:type="paragraph" w:styleId="3">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index 5"/>
    <w:basedOn w:val="1"/>
    <w:next w:val="1"/>
    <w:semiHidden/>
    <w:qFormat/>
    <w:uiPriority w:val="0"/>
    <w:pPr>
      <w:ind w:left="1680"/>
    </w:pPr>
    <w:rPr>
      <w:rFonts w:eastAsia="Times New Roman"/>
      <w:sz w:val="32"/>
    </w:rPr>
  </w:style>
  <w:style w:type="paragraph" w:styleId="5">
    <w:name w:val="Body Text"/>
    <w:basedOn w:val="1"/>
    <w:next w:val="1"/>
    <w:qFormat/>
    <w:uiPriority w:val="0"/>
    <w:rPr>
      <w:b/>
      <w:bCs/>
      <w:sz w:val="24"/>
    </w:rPr>
  </w:style>
  <w:style w:type="paragraph" w:styleId="6">
    <w:name w:val="Body Text Indent"/>
    <w:basedOn w:val="1"/>
    <w:next w:val="1"/>
    <w:qFormat/>
    <w:uiPriority w:val="0"/>
    <w:pPr>
      <w:ind w:left="420" w:leftChars="200"/>
    </w:pPr>
  </w:style>
  <w:style w:type="paragraph" w:styleId="7">
    <w:name w:val="Block Text"/>
    <w:basedOn w:val="1"/>
    <w:next w:val="1"/>
    <w:qFormat/>
    <w:uiPriority w:val="0"/>
    <w:pPr>
      <w:spacing w:line="320" w:lineRule="exact"/>
      <w:ind w:left="113" w:right="113"/>
      <w:jc w:val="center"/>
    </w:pPr>
    <w:rPr>
      <w:b/>
      <w:sz w:val="13"/>
      <w:szCs w:val="15"/>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2"/>
    <w:basedOn w:val="6"/>
    <w:next w:val="1"/>
    <w:qFormat/>
    <w:uiPriority w:val="0"/>
    <w:pPr>
      <w:ind w:firstLine="200" w:firstLineChars="200"/>
    </w:pPr>
    <w:rPr>
      <w:szCs w:val="21"/>
    </w:rPr>
  </w:style>
  <w:style w:type="character" w:styleId="15">
    <w:name w:val="Strong"/>
    <w:basedOn w:val="14"/>
    <w:qFormat/>
    <w:uiPriority w:val="0"/>
    <w:rPr>
      <w:b/>
    </w:rPr>
  </w:style>
  <w:style w:type="character" w:styleId="16">
    <w:name w:val="annotation reference"/>
    <w:basedOn w:val="14"/>
    <w:qFormat/>
    <w:uiPriority w:val="0"/>
    <w:rPr>
      <w:sz w:val="21"/>
      <w:szCs w:val="21"/>
    </w:rPr>
  </w:style>
  <w:style w:type="paragraph" w:customStyle="1" w:styleId="17">
    <w:name w:val="Default"/>
    <w:basedOn w:val="18"/>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18">
    <w:name w:val="纯文本1"/>
    <w:basedOn w:val="1"/>
    <w:qFormat/>
    <w:uiPriority w:val="0"/>
    <w:pPr>
      <w:adjustRightInd w:val="0"/>
    </w:pPr>
    <w:rPr>
      <w:rFonts w:ascii="宋体" w:hAnsi="Courier New"/>
    </w:rPr>
  </w:style>
  <w:style w:type="character" w:customStyle="1" w:styleId="19">
    <w:name w:val="页眉 Char"/>
    <w:basedOn w:val="14"/>
    <w:link w:val="9"/>
    <w:qFormat/>
    <w:uiPriority w:val="0"/>
    <w:rPr>
      <w:rFonts w:asciiTheme="minorHAnsi" w:hAnsiTheme="minorHAnsi" w:eastAsiaTheme="minorEastAsia" w:cstheme="minorBidi"/>
      <w:kern w:val="2"/>
      <w:sz w:val="18"/>
      <w:szCs w:val="18"/>
    </w:rPr>
  </w:style>
  <w:style w:type="character" w:customStyle="1" w:styleId="20">
    <w:name w:val="页脚 Char"/>
    <w:basedOn w:val="14"/>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1641</Words>
  <Characters>1832</Characters>
  <Lines>1</Lines>
  <Paragraphs>2</Paragraphs>
  <TotalTime>0</TotalTime>
  <ScaleCrop>false</ScaleCrop>
  <LinksUpToDate>false</LinksUpToDate>
  <CharactersWithSpaces>1853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2025-04-08T03:06:55Z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