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50975B">
      <w:pPr>
        <w:pStyle w:val="13"/>
        <w:widowControl/>
        <w:spacing w:line="360" w:lineRule="auto"/>
        <w:jc w:val="center"/>
        <w:rPr>
          <w:rFonts w:ascii="方正小标宋简体" w:hAnsi="方正小标宋简体" w:eastAsia="方正小标宋简体" w:cs="方正小标宋简体"/>
          <w:color w:val="333333"/>
          <w:sz w:val="30"/>
          <w:szCs w:val="30"/>
        </w:rPr>
      </w:pPr>
      <w:r>
        <w:rPr>
          <w:rFonts w:ascii="方正小标宋简体" w:hAnsi="方正小标宋简体" w:eastAsia="方正小标宋简体" w:cs="方正小标宋简体"/>
          <w:color w:val="333333"/>
          <w:sz w:val="30"/>
          <w:szCs w:val="30"/>
        </w:rPr>
        <w:t>关于</w:t>
      </w:r>
      <w:r>
        <w:rPr>
          <w:rFonts w:hint="eastAsia" w:ascii="方正小标宋简体" w:hAnsi="方正小标宋简体" w:eastAsia="方正小标宋简体" w:cs="方正小标宋简体"/>
          <w:color w:val="333333"/>
          <w:sz w:val="30"/>
          <w:szCs w:val="30"/>
        </w:rPr>
        <w:t>2025年1月10</w:t>
      </w:r>
      <w:r>
        <w:rPr>
          <w:rFonts w:ascii="方正小标宋简体" w:hAnsi="方正小标宋简体" w:eastAsia="方正小标宋简体" w:cs="方正小标宋简体"/>
          <w:color w:val="333333"/>
          <w:sz w:val="30"/>
          <w:szCs w:val="30"/>
        </w:rPr>
        <w:t>日</w:t>
      </w:r>
      <w:r>
        <w:rPr>
          <w:rFonts w:hint="eastAsia" w:ascii="方正小标宋简体" w:hAnsi="方正小标宋简体" w:eastAsia="方正小标宋简体" w:cs="方正小标宋简体"/>
          <w:color w:val="333333"/>
          <w:sz w:val="30"/>
          <w:szCs w:val="30"/>
        </w:rPr>
        <w:t>拟作出的建设项目环境影响评价文件</w:t>
      </w:r>
    </w:p>
    <w:p w14:paraId="338DCACB">
      <w:pPr>
        <w:pStyle w:val="13"/>
        <w:widowControl/>
        <w:spacing w:line="360" w:lineRule="auto"/>
        <w:jc w:val="center"/>
        <w:rPr>
          <w:rFonts w:ascii="方正小标宋简体" w:hAnsi="方正小标宋简体" w:eastAsia="方正小标宋简体" w:cs="方正小标宋简体"/>
          <w:color w:val="333333"/>
          <w:sz w:val="30"/>
          <w:szCs w:val="30"/>
        </w:rPr>
      </w:pPr>
      <w:r>
        <w:rPr>
          <w:rFonts w:hint="eastAsia" w:ascii="方正小标宋简体" w:hAnsi="方正小标宋简体" w:eastAsia="方正小标宋简体" w:cs="方正小标宋简体"/>
          <w:color w:val="333333"/>
          <w:sz w:val="30"/>
          <w:szCs w:val="30"/>
        </w:rPr>
        <w:t>批复决定的公示</w:t>
      </w:r>
    </w:p>
    <w:p w14:paraId="0B8878FA">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333333"/>
          <w:sz w:val="19"/>
          <w:szCs w:val="19"/>
          <w:shd w:val="clear" w:color="auto" w:fill="FFFFFF"/>
        </w:rPr>
        <w:t>  </w:t>
      </w:r>
      <w:r>
        <w:rPr>
          <w:rFonts w:hint="eastAsia" w:ascii="宋体" w:hAnsi="宋体" w:eastAsia="宋体" w:cs="宋体"/>
          <w:color w:val="000000"/>
          <w:sz w:val="21"/>
          <w:szCs w:val="21"/>
          <w:shd w:val="clear" w:color="auto" w:fill="FFFFFF"/>
        </w:rPr>
        <w:t>根据建设项目环境影响评价审批程序的有关规定，经审议，我局拟对1个建设项目环境影响评价文件作出审批意见。为保证审批意见的严肃性和公正性，现将各建设项目环境影响评价文件的基本情况予以公示。如有异议，请在公示期内反馈我局环评科。公示期为2025年1月10日－2025年1月1</w:t>
      </w:r>
      <w:r>
        <w:rPr>
          <w:rFonts w:hint="eastAsia" w:ascii="宋体" w:hAnsi="宋体" w:eastAsia="宋体" w:cs="宋体"/>
          <w:color w:val="000000"/>
          <w:sz w:val="21"/>
          <w:szCs w:val="21"/>
          <w:shd w:val="clear" w:color="auto" w:fill="FFFFFF"/>
          <w:lang w:val="en-US" w:eastAsia="zh-CN"/>
        </w:rPr>
        <w:t>6</w:t>
      </w:r>
      <w:r>
        <w:rPr>
          <w:rFonts w:hint="eastAsia" w:ascii="宋体" w:hAnsi="宋体" w:eastAsia="宋体" w:cs="宋体"/>
          <w:color w:val="000000"/>
          <w:sz w:val="21"/>
          <w:szCs w:val="21"/>
          <w:shd w:val="clear" w:color="auto" w:fill="FFFFFF"/>
        </w:rPr>
        <w:t>日（5日）。</w:t>
      </w:r>
    </w:p>
    <w:p w14:paraId="441406D1">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电话：0372—8181590</w:t>
      </w:r>
    </w:p>
    <w:p w14:paraId="256DA823">
      <w:pPr>
        <w:pStyle w:val="13"/>
        <w:widowControl/>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rPr>
        <w:t>    通讯地址：滑东新区创业大道与欧阳路交叉口东150米路南（456400）</w:t>
      </w:r>
    </w:p>
    <w:p w14:paraId="7A8EEA9D">
      <w:pPr>
        <w:pStyle w:val="13"/>
        <w:widowControl/>
        <w:shd w:val="clear" w:color="auto" w:fill="FFFFFF"/>
        <w:spacing w:before="75" w:beforeAutospacing="0" w:after="75" w:afterAutospacing="0"/>
        <w:rPr>
          <w:rFonts w:ascii="sans-serif" w:hAnsi="sans-serif" w:eastAsia="sans-serif" w:cs="sans-serif"/>
          <w:color w:val="000000"/>
        </w:rPr>
      </w:pPr>
      <w:r>
        <w:rPr>
          <w:rFonts w:hint="eastAsia" w:ascii="宋体" w:hAnsi="宋体" w:eastAsia="宋体" w:cs="宋体"/>
          <w:color w:val="000000"/>
          <w:sz w:val="21"/>
          <w:szCs w:val="21"/>
          <w:shd w:val="clear" w:color="auto" w:fill="FFFFFF"/>
        </w:rPr>
        <w:t>    听证告知：依据《中华人民共和国行政许可法》，自公示起五日内申请人、有重大利益关系的利害关系人可对以下拟作出的建设项目环境影响评价文件批复决定要求听证。</w:t>
      </w:r>
    </w:p>
    <w:p w14:paraId="31C8EA3F">
      <w:pPr>
        <w:pStyle w:val="13"/>
        <w:widowControl/>
        <w:shd w:val="clear" w:color="auto" w:fill="FFFFFF"/>
        <w:spacing w:before="75" w:beforeAutospacing="0" w:after="75" w:afterAutospacing="0"/>
        <w:jc w:val="both"/>
        <w:rPr>
          <w:rFonts w:ascii="sans-serif" w:hAnsi="sans-serif" w:eastAsia="sans-serif" w:cs="sans-serif"/>
          <w:color w:val="000000"/>
        </w:rPr>
      </w:pPr>
      <w:r>
        <w:rPr>
          <w:rFonts w:hint="eastAsia" w:ascii="宋体" w:hAnsi="宋体" w:eastAsia="宋体" w:cs="宋体"/>
          <w:color w:val="000000"/>
          <w:sz w:val="21"/>
          <w:szCs w:val="21"/>
          <w:shd w:val="clear" w:color="auto" w:fill="FFFFFF"/>
        </w:rPr>
        <w:t>拟审批的建设项目环境影响文件</w:t>
      </w:r>
    </w:p>
    <w:tbl>
      <w:tblPr>
        <w:tblStyle w:val="15"/>
        <w:tblW w:w="8115" w:type="dxa"/>
        <w:tblInd w:w="0" w:type="dxa"/>
        <w:tblLayout w:type="autofit"/>
        <w:tblCellMar>
          <w:top w:w="15" w:type="dxa"/>
          <w:left w:w="15" w:type="dxa"/>
          <w:bottom w:w="15" w:type="dxa"/>
          <w:right w:w="15" w:type="dxa"/>
        </w:tblCellMar>
      </w:tblPr>
      <w:tblGrid>
        <w:gridCol w:w="450"/>
        <w:gridCol w:w="436"/>
        <w:gridCol w:w="571"/>
        <w:gridCol w:w="481"/>
        <w:gridCol w:w="842"/>
        <w:gridCol w:w="902"/>
        <w:gridCol w:w="4433"/>
      </w:tblGrid>
      <w:tr w14:paraId="12CAE39C">
        <w:tblPrEx>
          <w:tblCellMar>
            <w:top w:w="15" w:type="dxa"/>
            <w:left w:w="15" w:type="dxa"/>
            <w:bottom w:w="15" w:type="dxa"/>
            <w:right w:w="15" w:type="dxa"/>
          </w:tblCellMar>
        </w:tblPrEx>
        <w:trPr>
          <w:trHeight w:val="90" w:hRule="atLeast"/>
        </w:trPr>
        <w:tc>
          <w:tcPr>
            <w:tcW w:w="450" w:type="dxa"/>
            <w:tcBorders>
              <w:top w:val="single" w:color="auto" w:sz="6" w:space="0"/>
              <w:left w:val="single" w:color="auto" w:sz="6" w:space="0"/>
              <w:bottom w:val="single" w:color="auto" w:sz="4" w:space="0"/>
              <w:right w:val="single" w:color="auto" w:sz="6" w:space="0"/>
            </w:tcBorders>
            <w:shd w:val="clear" w:color="auto" w:fill="auto"/>
            <w:tcMar>
              <w:top w:w="0" w:type="dxa"/>
              <w:left w:w="0" w:type="dxa"/>
              <w:bottom w:w="0" w:type="dxa"/>
              <w:right w:w="0" w:type="dxa"/>
            </w:tcMar>
            <w:vAlign w:val="center"/>
          </w:tcPr>
          <w:p w14:paraId="6FFC1A19">
            <w:pPr>
              <w:pStyle w:val="13"/>
              <w:widowControl/>
              <w:spacing w:beforeAutospacing="0" w:afterAutospacing="0" w:line="300" w:lineRule="atLeast"/>
              <w:jc w:val="center"/>
            </w:pPr>
            <w:r>
              <w:rPr>
                <w:rStyle w:val="17"/>
                <w:rFonts w:hint="eastAsia" w:ascii="宋体" w:hAnsi="宋体" w:eastAsia="宋体" w:cs="宋体"/>
                <w:color w:val="000000"/>
                <w:sz w:val="18"/>
                <w:szCs w:val="18"/>
              </w:rPr>
              <w:t>序号</w:t>
            </w:r>
          </w:p>
        </w:tc>
        <w:tc>
          <w:tcPr>
            <w:tcW w:w="436"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264A6FE2">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597819F2">
            <w:pPr>
              <w:pStyle w:val="13"/>
              <w:widowControl/>
              <w:spacing w:beforeAutospacing="0" w:afterAutospacing="0" w:line="300" w:lineRule="atLeast"/>
              <w:jc w:val="center"/>
            </w:pPr>
            <w:r>
              <w:rPr>
                <w:rStyle w:val="17"/>
                <w:rFonts w:hint="eastAsia" w:ascii="宋体" w:hAnsi="宋体" w:eastAsia="宋体" w:cs="宋体"/>
                <w:color w:val="000000"/>
                <w:sz w:val="18"/>
                <w:szCs w:val="18"/>
              </w:rPr>
              <w:t>单位</w:t>
            </w:r>
          </w:p>
        </w:tc>
        <w:tc>
          <w:tcPr>
            <w:tcW w:w="57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3ABD6F59">
            <w:pPr>
              <w:pStyle w:val="13"/>
              <w:widowControl/>
              <w:spacing w:beforeAutospacing="0" w:afterAutospacing="0" w:line="300" w:lineRule="atLeast"/>
              <w:jc w:val="center"/>
            </w:pPr>
            <w:r>
              <w:rPr>
                <w:rStyle w:val="17"/>
                <w:rFonts w:hint="eastAsia" w:ascii="宋体" w:hAnsi="宋体" w:eastAsia="宋体" w:cs="宋体"/>
                <w:color w:val="000000"/>
                <w:sz w:val="18"/>
                <w:szCs w:val="18"/>
              </w:rPr>
              <w:t>项目</w:t>
            </w:r>
          </w:p>
          <w:p w14:paraId="675BE7FE">
            <w:pPr>
              <w:pStyle w:val="13"/>
              <w:widowControl/>
              <w:spacing w:beforeAutospacing="0" w:afterAutospacing="0" w:line="300" w:lineRule="atLeast"/>
              <w:jc w:val="center"/>
            </w:pPr>
            <w:r>
              <w:rPr>
                <w:rStyle w:val="17"/>
                <w:rFonts w:hint="eastAsia" w:ascii="宋体" w:hAnsi="宋体" w:eastAsia="宋体" w:cs="宋体"/>
                <w:color w:val="000000"/>
                <w:sz w:val="18"/>
                <w:szCs w:val="18"/>
              </w:rPr>
              <w:t>名称</w:t>
            </w:r>
          </w:p>
        </w:tc>
        <w:tc>
          <w:tcPr>
            <w:tcW w:w="481"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1929122B">
            <w:pPr>
              <w:pStyle w:val="13"/>
              <w:widowControl/>
              <w:spacing w:beforeAutospacing="0" w:afterAutospacing="0" w:line="300" w:lineRule="atLeast"/>
              <w:jc w:val="center"/>
            </w:pPr>
            <w:r>
              <w:rPr>
                <w:rStyle w:val="17"/>
                <w:rFonts w:hint="eastAsia" w:ascii="宋体" w:hAnsi="宋体" w:eastAsia="宋体" w:cs="宋体"/>
                <w:color w:val="000000"/>
                <w:sz w:val="18"/>
                <w:szCs w:val="18"/>
              </w:rPr>
              <w:t>建设</w:t>
            </w:r>
          </w:p>
          <w:p w14:paraId="57DC4A46">
            <w:pPr>
              <w:pStyle w:val="13"/>
              <w:widowControl/>
              <w:spacing w:beforeAutospacing="0" w:afterAutospacing="0" w:line="300" w:lineRule="atLeast"/>
              <w:jc w:val="center"/>
            </w:pPr>
            <w:r>
              <w:rPr>
                <w:rStyle w:val="17"/>
                <w:rFonts w:hint="eastAsia" w:ascii="宋体" w:hAnsi="宋体" w:eastAsia="宋体" w:cs="宋体"/>
                <w:color w:val="000000"/>
                <w:sz w:val="18"/>
                <w:szCs w:val="18"/>
              </w:rPr>
              <w:t>地点</w:t>
            </w:r>
          </w:p>
        </w:tc>
        <w:tc>
          <w:tcPr>
            <w:tcW w:w="84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4F054100">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环境影响评价机构</w:t>
            </w:r>
          </w:p>
        </w:tc>
        <w:tc>
          <w:tcPr>
            <w:tcW w:w="902"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9CC1A23">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建设项目</w:t>
            </w:r>
          </w:p>
          <w:p w14:paraId="663EA8F8">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概况</w:t>
            </w:r>
          </w:p>
        </w:tc>
        <w:tc>
          <w:tcPr>
            <w:tcW w:w="4433" w:type="dxa"/>
            <w:tcBorders>
              <w:top w:val="single" w:color="auto" w:sz="6"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51F892CF">
            <w:pPr>
              <w:pStyle w:val="13"/>
              <w:widowControl/>
              <w:spacing w:beforeAutospacing="0" w:afterAutospacing="0" w:line="300" w:lineRule="atLeast"/>
              <w:jc w:val="center"/>
            </w:pPr>
            <w:r>
              <w:rPr>
                <w:rStyle w:val="17"/>
                <w:rFonts w:hint="eastAsia" w:ascii="宋体" w:hAnsi="宋体" w:eastAsia="宋体" w:cs="宋体"/>
                <w:color w:val="000000"/>
                <w:sz w:val="18"/>
                <w:szCs w:val="18"/>
                <w:shd w:val="clear" w:color="auto" w:fill="FFFFFF"/>
              </w:rPr>
              <w:t>主要环境影响及预防或减轻不良环境影响的对策和措施</w:t>
            </w:r>
          </w:p>
        </w:tc>
      </w:tr>
      <w:tr w14:paraId="3967ECBC">
        <w:tblPrEx>
          <w:tblCellMar>
            <w:top w:w="15" w:type="dxa"/>
            <w:left w:w="15" w:type="dxa"/>
            <w:bottom w:w="15" w:type="dxa"/>
            <w:right w:w="15" w:type="dxa"/>
          </w:tblCellMar>
        </w:tblPrEx>
        <w:trPr>
          <w:trHeight w:val="90" w:hRule="atLeast"/>
        </w:trPr>
        <w:tc>
          <w:tcPr>
            <w:tcW w:w="450" w:type="dxa"/>
            <w:tcBorders>
              <w:top w:val="single" w:color="auto" w:sz="4" w:space="0"/>
              <w:left w:val="single" w:color="auto" w:sz="4" w:space="0"/>
              <w:bottom w:val="single" w:color="auto" w:sz="4" w:space="0"/>
              <w:right w:val="single" w:color="auto" w:sz="6" w:space="0"/>
            </w:tcBorders>
            <w:shd w:val="clear" w:color="auto" w:fill="auto"/>
            <w:tcMar>
              <w:top w:w="0" w:type="dxa"/>
              <w:left w:w="0" w:type="dxa"/>
              <w:bottom w:w="0" w:type="dxa"/>
              <w:right w:w="0" w:type="dxa"/>
            </w:tcMar>
            <w:vAlign w:val="center"/>
          </w:tcPr>
          <w:p w14:paraId="0212771E">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1.</w:t>
            </w:r>
          </w:p>
        </w:tc>
        <w:tc>
          <w:tcPr>
            <w:tcW w:w="436"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294F374">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安阳奥尚新型建材有限公司</w:t>
            </w:r>
          </w:p>
        </w:tc>
        <w:tc>
          <w:tcPr>
            <w:tcW w:w="57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1E59A0F">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年加工生产200吨树脂瓦配件项</w:t>
            </w:r>
            <w:r>
              <w:rPr>
                <w:rFonts w:ascii="Times New Roman" w:hAnsi="Times New Roman"/>
                <w:color w:val="000000"/>
                <w:sz w:val="18"/>
                <w:szCs w:val="18"/>
              </w:rPr>
              <w:t xml:space="preserve">目     </w:t>
            </w:r>
          </w:p>
        </w:tc>
        <w:tc>
          <w:tcPr>
            <w:tcW w:w="481"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0CDD6158">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滑县四间房镇魏南呼路北28号</w:t>
            </w:r>
          </w:p>
        </w:tc>
        <w:tc>
          <w:tcPr>
            <w:tcW w:w="84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683793A8">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中南金尚环境工程</w:t>
            </w:r>
            <w:r>
              <w:rPr>
                <w:rFonts w:ascii="Times New Roman" w:hAnsi="Times New Roman"/>
                <w:color w:val="000000"/>
                <w:sz w:val="18"/>
                <w:szCs w:val="18"/>
              </w:rPr>
              <w:t>有限公司</w:t>
            </w:r>
          </w:p>
        </w:tc>
        <w:tc>
          <w:tcPr>
            <w:tcW w:w="902" w:type="dxa"/>
            <w:tcBorders>
              <w:top w:val="single" w:color="auto" w:sz="4" w:space="0"/>
              <w:left w:val="nil"/>
              <w:bottom w:val="single" w:color="auto" w:sz="4" w:space="0"/>
              <w:right w:val="single" w:color="auto" w:sz="6" w:space="0"/>
            </w:tcBorders>
            <w:shd w:val="clear" w:color="auto" w:fill="auto"/>
            <w:tcMar>
              <w:top w:w="0" w:type="dxa"/>
              <w:left w:w="0" w:type="dxa"/>
              <w:bottom w:w="0" w:type="dxa"/>
              <w:right w:w="0" w:type="dxa"/>
            </w:tcMar>
            <w:vAlign w:val="center"/>
          </w:tcPr>
          <w:p w14:paraId="79D4B410">
            <w:pPr>
              <w:pStyle w:val="13"/>
              <w:widowControl/>
              <w:spacing w:beforeAutospacing="0" w:afterAutospacing="0" w:line="300" w:lineRule="atLeast"/>
              <w:jc w:val="center"/>
              <w:rPr>
                <w:rFonts w:ascii="Times New Roman" w:hAnsi="Times New Roman"/>
                <w:color w:val="000000"/>
                <w:sz w:val="18"/>
                <w:szCs w:val="18"/>
              </w:rPr>
            </w:pPr>
            <w:r>
              <w:rPr>
                <w:rFonts w:hint="eastAsia" w:ascii="Times New Roman" w:hAnsi="Times New Roman"/>
                <w:color w:val="000000"/>
                <w:sz w:val="18"/>
                <w:szCs w:val="18"/>
              </w:rPr>
              <w:t>总投资100万元，环保投资6万元。</w:t>
            </w:r>
          </w:p>
        </w:tc>
        <w:tc>
          <w:tcPr>
            <w:tcW w:w="4433"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14:paraId="3FE89CB1">
            <w:pPr>
              <w:spacing w:line="620" w:lineRule="exact"/>
              <w:ind w:firstLine="360" w:firstLineChars="200"/>
              <w:rPr>
                <w:rFonts w:hint="eastAsia"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1. 废气：切割工序进行二次密闭，废气经集气罩收集经袋式除尘器处理后通过15米高排气筒排放；加热、挤压成型废气由半密闭集气罩收集经“两级活性炭吸附”处理后，通过15m高排气筒排放；废气排放须满足《合成树脂工业污染物排放标准》（GB31572-2015）（含2024年修改单）表5及表9浓度限值、《河南省重污染天气重点行业应急减排措施制定技术指南（2024年修订版）》中塑料制品行业A级指标要求、《挥发性有机物无组织排放控制标准》（GB37822-2019）限值要求、《关于全省开展工业企业挥发性有机物专项治理工作中排放建议值的通知》（豫环攻坚办〔2017〕162号）要求及《安阳市2019年工业大气污染治理5个专项实施方案》（安环攻坚办〔2019〕196号）要求。</w:t>
            </w:r>
          </w:p>
          <w:p w14:paraId="7C4BAA16">
            <w:pPr>
              <w:spacing w:line="620" w:lineRule="exact"/>
              <w:ind w:firstLine="360" w:firstLineChars="200"/>
              <w:rPr>
                <w:rFonts w:hint="eastAsia"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2. 废水：生活废水经5m</w:t>
            </w:r>
            <w:bookmarkStart w:id="0" w:name="_GoBack"/>
            <w:r>
              <w:rPr>
                <w:rFonts w:hint="eastAsia" w:ascii="Times New Roman" w:hAnsi="Times New Roman" w:cs="Times New Roman"/>
                <w:bCs/>
                <w:color w:val="000000"/>
                <w:kern w:val="0"/>
                <w:sz w:val="18"/>
                <w:szCs w:val="18"/>
                <w:vertAlign w:val="superscript"/>
              </w:rPr>
              <w:t>3</w:t>
            </w:r>
            <w:bookmarkEnd w:id="0"/>
            <w:r>
              <w:rPr>
                <w:rFonts w:hint="eastAsia" w:ascii="Times New Roman" w:hAnsi="Times New Roman" w:cs="Times New Roman"/>
                <w:bCs/>
                <w:color w:val="000000"/>
                <w:kern w:val="0"/>
                <w:sz w:val="18"/>
                <w:szCs w:val="18"/>
              </w:rPr>
              <w:t>化粪池处理后由建设单位定期清掏用于肥田。</w:t>
            </w:r>
          </w:p>
          <w:p w14:paraId="34254E09">
            <w:pPr>
              <w:spacing w:line="620" w:lineRule="exact"/>
              <w:ind w:firstLine="360" w:firstLineChars="200"/>
              <w:rPr>
                <w:rFonts w:hint="eastAsia"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3. 噪声：切割机、空压机、撕碎机、环保设施风机等设备运行时产生的噪声，通过厂房隔声、基础减振等措施后，厂界噪声排放须满足《工业企业厂界环境噪声排放标准》（GB12348-2008）2类标准。</w:t>
            </w:r>
          </w:p>
          <w:p w14:paraId="714C524F">
            <w:pPr>
              <w:spacing w:line="620" w:lineRule="exact"/>
              <w:ind w:firstLine="360" w:firstLineChars="200"/>
              <w:rPr>
                <w:rFonts w:ascii="Times New Roman" w:hAnsi="Times New Roman" w:cs="Times New Roman"/>
                <w:bCs/>
                <w:color w:val="000000"/>
                <w:kern w:val="0"/>
                <w:sz w:val="18"/>
                <w:szCs w:val="18"/>
              </w:rPr>
            </w:pPr>
            <w:r>
              <w:rPr>
                <w:rFonts w:hint="eastAsia" w:ascii="Times New Roman" w:hAnsi="Times New Roman" w:cs="Times New Roman"/>
                <w:bCs/>
                <w:color w:val="000000"/>
                <w:kern w:val="0"/>
                <w:sz w:val="18"/>
                <w:szCs w:val="18"/>
              </w:rPr>
              <w:t>4. 固体废物：边角料、不合格产品暂存于10m</w:t>
            </w:r>
            <w:r>
              <w:rPr>
                <w:rFonts w:hint="eastAsia" w:ascii="Times New Roman" w:hAnsi="Times New Roman" w:cs="Times New Roman"/>
                <w:bCs/>
                <w:color w:val="000000"/>
                <w:kern w:val="0"/>
                <w:sz w:val="18"/>
                <w:szCs w:val="18"/>
                <w:vertAlign w:val="superscript"/>
              </w:rPr>
              <w:t>2</w:t>
            </w:r>
            <w:r>
              <w:rPr>
                <w:rFonts w:hint="eastAsia" w:ascii="Times New Roman" w:hAnsi="Times New Roman" w:cs="Times New Roman"/>
                <w:bCs/>
                <w:color w:val="000000"/>
                <w:kern w:val="0"/>
                <w:sz w:val="18"/>
                <w:szCs w:val="18"/>
              </w:rPr>
              <w:t>一般固废暂存间，定期外售；废活性炭经单独的密闭容器收集后暂存于10m</w:t>
            </w:r>
            <w:r>
              <w:rPr>
                <w:rFonts w:hint="eastAsia" w:ascii="Times New Roman" w:hAnsi="Times New Roman" w:cs="Times New Roman"/>
                <w:bCs/>
                <w:color w:val="000000"/>
                <w:kern w:val="0"/>
                <w:sz w:val="18"/>
                <w:szCs w:val="18"/>
                <w:vertAlign w:val="superscript"/>
              </w:rPr>
              <w:t>2</w:t>
            </w:r>
            <w:r>
              <w:rPr>
                <w:rFonts w:hint="eastAsia" w:ascii="Times New Roman" w:hAnsi="Times New Roman" w:cs="Times New Roman"/>
                <w:bCs/>
                <w:color w:val="000000"/>
                <w:kern w:val="0"/>
                <w:sz w:val="18"/>
                <w:szCs w:val="18"/>
              </w:rPr>
              <w:t>危险废物暂存间，定期交由有资质单位处置；生活垃圾经垃圾桶收集，除尘灰定期清理，由环卫部门定期清运统一处置。一般固体废物暂存应满足《一般工业固体废物贮存和填埋污染控制标准》（GB18599 -2020）要求，危险废物暂存应满足《危险废物贮存污染控制标准》（GB18597-2023）要求。</w:t>
            </w:r>
          </w:p>
          <w:p w14:paraId="0CBFC1F5">
            <w:pPr>
              <w:spacing w:line="620" w:lineRule="exact"/>
              <w:ind w:firstLine="360" w:firstLineChars="200"/>
              <w:rPr>
                <w:rFonts w:ascii="Times New Roman" w:hAnsi="Times New Roman"/>
                <w:color w:val="000000"/>
                <w:sz w:val="18"/>
                <w:szCs w:val="18"/>
              </w:rPr>
            </w:pPr>
          </w:p>
        </w:tc>
      </w:tr>
    </w:tbl>
    <w:p w14:paraId="540C70A4">
      <w:pPr>
        <w:pStyle w:val="13"/>
        <w:widowControl/>
        <w:spacing w:beforeAutospacing="0" w:afterAutospacing="0" w:line="300" w:lineRule="atLeast"/>
        <w:jc w:val="center"/>
        <w:rPr>
          <w:rFonts w:ascii="Times New Roman" w:hAnsi="Times New Roman"/>
          <w:color w:val="00000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A216F0"/>
    <w:multiLevelType w:val="multilevel"/>
    <w:tmpl w:val="1DA216F0"/>
    <w:lvl w:ilvl="0" w:tentative="0">
      <w:start w:val="1"/>
      <w:numFmt w:val="chineseCountingThousand"/>
      <w:pStyle w:val="12"/>
      <w:lvlText w:val="第%1章　"/>
      <w:lvlJc w:val="left"/>
      <w:pPr>
        <w:tabs>
          <w:tab w:val="left" w:pos="1440"/>
        </w:tabs>
        <w:ind w:left="720" w:hanging="720"/>
      </w:pPr>
      <w:rPr>
        <w:rFonts w:hint="eastAsia"/>
        <w:sz w:val="32"/>
        <w:szCs w:val="32"/>
      </w:rPr>
    </w:lvl>
    <w:lvl w:ilvl="1" w:tentative="0">
      <w:start w:val="1"/>
      <w:numFmt w:val="lowerRoman"/>
      <w:lvlText w:val="(%2)"/>
      <w:lvlJc w:val="left"/>
      <w:pPr>
        <w:tabs>
          <w:tab w:val="left" w:pos="861"/>
        </w:tabs>
        <w:ind w:left="861" w:hanging="720"/>
      </w:pPr>
      <w:rPr>
        <w:rFonts w:hint="eastAsia"/>
      </w:rPr>
    </w:lvl>
    <w:lvl w:ilvl="2" w:tentative="0">
      <w:start w:val="1"/>
      <w:numFmt w:val="lowerLetter"/>
      <w:lvlText w:val="(%3)"/>
      <w:lvlJc w:val="left"/>
      <w:pPr>
        <w:tabs>
          <w:tab w:val="left" w:pos="1335"/>
        </w:tabs>
        <w:ind w:left="1335" w:hanging="495"/>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BjYTBhZThlNzU1YzE4MTAxZTVkY2IyYzEzZGQxMDYifQ=="/>
  </w:docVars>
  <w:rsids>
    <w:rsidRoot w:val="00D553BD"/>
    <w:rsid w:val="00021B7D"/>
    <w:rsid w:val="00051C04"/>
    <w:rsid w:val="000934E9"/>
    <w:rsid w:val="000C13E5"/>
    <w:rsid w:val="00272D6F"/>
    <w:rsid w:val="002D40B0"/>
    <w:rsid w:val="00346272"/>
    <w:rsid w:val="0034687D"/>
    <w:rsid w:val="00351DEE"/>
    <w:rsid w:val="00424CC3"/>
    <w:rsid w:val="005227EA"/>
    <w:rsid w:val="005901A6"/>
    <w:rsid w:val="00612AF7"/>
    <w:rsid w:val="00613302"/>
    <w:rsid w:val="007F6C56"/>
    <w:rsid w:val="00854859"/>
    <w:rsid w:val="00896DDB"/>
    <w:rsid w:val="008F6A17"/>
    <w:rsid w:val="00B101CB"/>
    <w:rsid w:val="00B21E60"/>
    <w:rsid w:val="00B72CC9"/>
    <w:rsid w:val="00C53645"/>
    <w:rsid w:val="00CE3621"/>
    <w:rsid w:val="00D553BD"/>
    <w:rsid w:val="00D93271"/>
    <w:rsid w:val="00DB2F10"/>
    <w:rsid w:val="00EB48B5"/>
    <w:rsid w:val="00FA45AC"/>
    <w:rsid w:val="00FD244D"/>
    <w:rsid w:val="09E6605D"/>
    <w:rsid w:val="23BC64AB"/>
    <w:rsid w:val="28B71175"/>
    <w:rsid w:val="29F8185A"/>
    <w:rsid w:val="2ADD44ED"/>
    <w:rsid w:val="2DC302F1"/>
    <w:rsid w:val="2DC86D5C"/>
    <w:rsid w:val="31811015"/>
    <w:rsid w:val="383B30F1"/>
    <w:rsid w:val="3A25474B"/>
    <w:rsid w:val="3B0E64B4"/>
    <w:rsid w:val="3E6B2E9F"/>
    <w:rsid w:val="3FAE1904"/>
    <w:rsid w:val="47A4392B"/>
    <w:rsid w:val="4AA43B88"/>
    <w:rsid w:val="4DB91C07"/>
    <w:rsid w:val="4F2D1826"/>
    <w:rsid w:val="506B2B73"/>
    <w:rsid w:val="51C957E0"/>
    <w:rsid w:val="52376698"/>
    <w:rsid w:val="56C81A1D"/>
    <w:rsid w:val="56E408B3"/>
    <w:rsid w:val="591254C2"/>
    <w:rsid w:val="5AC029C4"/>
    <w:rsid w:val="664F2219"/>
    <w:rsid w:val="6A074AD5"/>
    <w:rsid w:val="6CD213AC"/>
    <w:rsid w:val="73257025"/>
    <w:rsid w:val="75B96372"/>
    <w:rsid w:val="78E76149"/>
    <w:rsid w:val="79F92000"/>
    <w:rsid w:val="7A760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Autospacing="1" w:afterAutospacing="1"/>
      <w:jc w:val="center"/>
      <w:outlineLvl w:val="0"/>
    </w:pPr>
    <w:rPr>
      <w:b/>
      <w:kern w:val="44"/>
      <w:sz w:val="44"/>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Times New Roman"/>
      <w:b/>
      <w:kern w:val="0"/>
      <w:sz w:val="24"/>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unhideWhenUsed/>
    <w:qFormat/>
    <w:uiPriority w:val="99"/>
    <w:pPr>
      <w:autoSpaceDE w:val="0"/>
      <w:autoSpaceDN w:val="0"/>
    </w:pPr>
    <w:rPr>
      <w:rFonts w:hint="eastAsia" w:ascii="仿宋_GB2312" w:hAnsi="仿宋_GB2312" w:eastAsia="仿宋_GB2312" w:cs="Times New Roman"/>
      <w:color w:val="000000"/>
      <w:sz w:val="24"/>
    </w:rPr>
  </w:style>
  <w:style w:type="paragraph" w:customStyle="1" w:styleId="3">
    <w:name w:val="纯文本1"/>
    <w:basedOn w:val="1"/>
    <w:qFormat/>
    <w:uiPriority w:val="0"/>
    <w:pPr>
      <w:adjustRightInd w:val="0"/>
    </w:pPr>
    <w:rPr>
      <w:rFonts w:ascii="宋体" w:hAnsi="Courier New"/>
    </w:rPr>
  </w:style>
  <w:style w:type="paragraph" w:styleId="6">
    <w:name w:val="index 5"/>
    <w:basedOn w:val="1"/>
    <w:next w:val="1"/>
    <w:semiHidden/>
    <w:qFormat/>
    <w:uiPriority w:val="0"/>
    <w:pPr>
      <w:ind w:left="1680"/>
    </w:pPr>
    <w:rPr>
      <w:rFonts w:eastAsia="Times New Roman"/>
      <w:sz w:val="32"/>
    </w:rPr>
  </w:style>
  <w:style w:type="paragraph" w:styleId="7">
    <w:name w:val="Body Text"/>
    <w:basedOn w:val="1"/>
    <w:next w:val="1"/>
    <w:qFormat/>
    <w:uiPriority w:val="0"/>
    <w:rPr>
      <w:b/>
      <w:bCs/>
      <w:sz w:val="24"/>
    </w:rPr>
  </w:style>
  <w:style w:type="paragraph" w:styleId="8">
    <w:name w:val="Body Text Indent"/>
    <w:basedOn w:val="1"/>
    <w:next w:val="1"/>
    <w:qFormat/>
    <w:uiPriority w:val="0"/>
    <w:pPr>
      <w:ind w:left="420" w:leftChars="200"/>
    </w:pPr>
  </w:style>
  <w:style w:type="paragraph" w:styleId="9">
    <w:name w:val="Block Text"/>
    <w:basedOn w:val="1"/>
    <w:next w:val="1"/>
    <w:qFormat/>
    <w:uiPriority w:val="0"/>
    <w:pPr>
      <w:spacing w:line="320" w:lineRule="exact"/>
      <w:ind w:left="113" w:right="113"/>
      <w:jc w:val="center"/>
    </w:pPr>
    <w:rPr>
      <w:b/>
      <w:sz w:val="13"/>
      <w:szCs w:val="15"/>
    </w:rPr>
  </w:style>
  <w:style w:type="paragraph" w:styleId="10">
    <w:name w:val="footer"/>
    <w:basedOn w:val="1"/>
    <w:link w:val="20"/>
    <w:qFormat/>
    <w:uiPriority w:val="0"/>
    <w:pPr>
      <w:tabs>
        <w:tab w:val="center" w:pos="4153"/>
        <w:tab w:val="right" w:pos="8306"/>
      </w:tabs>
      <w:snapToGrid w:val="0"/>
      <w:jc w:val="left"/>
    </w:pPr>
    <w:rPr>
      <w:sz w:val="18"/>
      <w:szCs w:val="18"/>
    </w:rPr>
  </w:style>
  <w:style w:type="paragraph" w:styleId="11">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99"/>
    <w:pPr>
      <w:numPr>
        <w:ilvl w:val="0"/>
        <w:numId w:val="1"/>
      </w:numPr>
      <w:spacing w:beforeLines="50" w:line="336" w:lineRule="auto"/>
      <w:ind w:left="0" w:firstLine="0"/>
    </w:pPr>
    <w:rPr>
      <w:rFonts w:ascii="Times New Roman" w:hAnsi="Times New Roman" w:eastAsia="仿宋_GB2312" w:cs="Times New Roman"/>
      <w:kern w:val="0"/>
      <w:lang w:val="en-GB" w:eastAsia="en-US"/>
    </w:rPr>
  </w:style>
  <w:style w:type="paragraph" w:styleId="13">
    <w:name w:val="Normal (Web)"/>
    <w:basedOn w:val="1"/>
    <w:qFormat/>
    <w:uiPriority w:val="0"/>
    <w:pPr>
      <w:spacing w:beforeAutospacing="1" w:afterAutospacing="1"/>
      <w:jc w:val="left"/>
    </w:pPr>
    <w:rPr>
      <w:rFonts w:cs="Times New Roman"/>
      <w:kern w:val="0"/>
      <w:sz w:val="24"/>
    </w:rPr>
  </w:style>
  <w:style w:type="paragraph" w:styleId="14">
    <w:name w:val="Body Text First Indent 2"/>
    <w:basedOn w:val="8"/>
    <w:next w:val="1"/>
    <w:qFormat/>
    <w:uiPriority w:val="0"/>
    <w:pPr>
      <w:ind w:firstLine="200" w:firstLineChars="200"/>
    </w:pPr>
    <w:rPr>
      <w:szCs w:val="21"/>
    </w:rPr>
  </w:style>
  <w:style w:type="character" w:styleId="17">
    <w:name w:val="Strong"/>
    <w:basedOn w:val="16"/>
    <w:qFormat/>
    <w:uiPriority w:val="0"/>
    <w:rPr>
      <w:b/>
    </w:rPr>
  </w:style>
  <w:style w:type="character" w:styleId="18">
    <w:name w:val="annotation reference"/>
    <w:basedOn w:val="16"/>
    <w:qFormat/>
    <w:uiPriority w:val="0"/>
    <w:rPr>
      <w:sz w:val="21"/>
      <w:szCs w:val="21"/>
    </w:rPr>
  </w:style>
  <w:style w:type="character" w:customStyle="1" w:styleId="19">
    <w:name w:val="页眉 Char"/>
    <w:basedOn w:val="16"/>
    <w:link w:val="11"/>
    <w:qFormat/>
    <w:uiPriority w:val="0"/>
    <w:rPr>
      <w:rFonts w:asciiTheme="minorHAnsi" w:hAnsiTheme="minorHAnsi" w:eastAsiaTheme="minorEastAsia" w:cstheme="minorBidi"/>
      <w:kern w:val="2"/>
      <w:sz w:val="18"/>
      <w:szCs w:val="18"/>
    </w:rPr>
  </w:style>
  <w:style w:type="character" w:customStyle="1" w:styleId="20">
    <w:name w:val="页脚 Char"/>
    <w:basedOn w:val="16"/>
    <w:link w:val="10"/>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977</Words>
  <Characters>1099</Characters>
  <Lines>1</Lines>
  <Paragraphs>2</Paragraphs>
  <TotalTime>1</TotalTime>
  <ScaleCrop>false</ScaleCrop>
  <LinksUpToDate>false</LinksUpToDate>
  <CharactersWithSpaces>1123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大卫</cp:lastModifiedBy>
  <dcterms:modified xsi:type="dcterms:W3CDTF">2025-01-21T01:30:00Z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8BE8F78994014D048921BA9B8DEF1A8D</vt:lpwstr>
  </property>
  <property fmtid="{D5CDD505-2E9C-101B-9397-08002B2CF9AE}" pid="4" name="KSOTemplateDocerSaveRecord">
    <vt:lpwstr>eyJoZGlkIjoiYjBjYTBhZThlNzU1YzE4MTAxZTVkY2IyYzEzZGQxMDYiLCJ1c2VySWQiOiI0MzgzNDU3NTEifQ==</vt:lpwstr>
  </property>
</Properties>
</file>