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16" w:lineRule="auto"/>
        <w:jc w:val="center"/>
        <w:rPr>
          <w:sz w:val="74"/>
        </w:rPr>
      </w:pPr>
      <w:r>
        <w:rPr>
          <w:rFonts w:hint="eastAsia" w:ascii="宋体" w:hAnsi="宋体" w:eastAsia="宋体"/>
          <w:color w:val="000000"/>
          <w:sz w:val="74"/>
        </w:rPr>
        <w:t>建设项目环境影响报告表</w:t>
      </w:r>
    </w:p>
    <w:p>
      <w:pPr>
        <w:spacing w:line="216" w:lineRule="auto"/>
        <w:jc w:val="center"/>
        <w:rPr>
          <w:sz w:val="30"/>
        </w:rPr>
      </w:pPr>
      <w:r>
        <w:rPr>
          <w:rFonts w:hint="eastAsia" w:ascii="宋体" w:hAnsi="宋体" w:eastAsia="宋体"/>
          <w:color w:val="000000"/>
          <w:sz w:val="30"/>
        </w:rPr>
        <w:t>（报批版）</w:t>
      </w:r>
    </w:p>
    <w:p>
      <w:pPr>
        <w:spacing w:line="336" w:lineRule="auto"/>
        <w:ind w:firstLine="0"/>
        <w:jc w:val="both"/>
        <w:rPr>
          <w:sz w:val="35"/>
        </w:rPr>
      </w:pPr>
    </w:p>
    <w:p>
      <w:pPr>
        <w:spacing w:line="336" w:lineRule="auto"/>
        <w:ind w:firstLine="0"/>
        <w:jc w:val="both"/>
        <w:rPr>
          <w:sz w:val="35"/>
        </w:rPr>
      </w:pPr>
    </w:p>
    <w:p>
      <w:pPr>
        <w:spacing w:line="336" w:lineRule="auto"/>
        <w:ind w:firstLine="0"/>
        <w:jc w:val="both"/>
        <w:rPr>
          <w:sz w:val="35"/>
        </w:rPr>
      </w:pPr>
    </w:p>
    <w:p>
      <w:pPr>
        <w:spacing w:line="336" w:lineRule="auto"/>
        <w:ind w:firstLine="0"/>
        <w:jc w:val="both"/>
        <w:rPr>
          <w:sz w:val="35"/>
        </w:rPr>
      </w:pPr>
    </w:p>
    <w:p>
      <w:pPr>
        <w:spacing w:line="336" w:lineRule="auto"/>
        <w:ind w:firstLine="0"/>
        <w:jc w:val="both"/>
        <w:rPr>
          <w:sz w:val="35"/>
        </w:rPr>
      </w:pPr>
    </w:p>
    <w:p>
      <w:pPr>
        <w:spacing w:line="336" w:lineRule="auto"/>
        <w:ind w:firstLine="0"/>
        <w:jc w:val="both"/>
        <w:rPr>
          <w:sz w:val="35"/>
        </w:rPr>
      </w:pPr>
    </w:p>
    <w:p>
      <w:pPr>
        <w:spacing w:line="336" w:lineRule="auto"/>
        <w:ind w:firstLine="0"/>
        <w:jc w:val="both"/>
        <w:rPr>
          <w:sz w:val="35"/>
        </w:rPr>
      </w:pPr>
      <w:r>
        <w:rPr>
          <w:rFonts w:hint="eastAsia" w:ascii="宋体" w:hAnsi="宋体" w:eastAsia="宋体"/>
          <w:color w:val="000000"/>
          <w:sz w:val="35"/>
        </w:rPr>
        <w:t>项目名称：  年产200套免漆家具建设项目</w:t>
      </w:r>
    </w:p>
    <w:p>
      <w:pPr>
        <w:spacing w:line="336" w:lineRule="auto"/>
        <w:ind w:firstLine="0"/>
        <w:jc w:val="both"/>
        <w:rPr>
          <w:sz w:val="35"/>
        </w:rPr>
      </w:pPr>
      <w:r>
        <w:rPr>
          <w:rFonts w:hint="eastAsia" w:ascii="宋体" w:hAnsi="宋体" w:eastAsia="宋体"/>
          <w:color w:val="000000"/>
          <w:sz w:val="35"/>
        </w:rPr>
        <w:t>建设单位（盖章）：  滑县白道口博骏</w:t>
      </w:r>
      <w:r>
        <w:rPr>
          <w:rFonts w:hint="eastAsia" w:ascii="宋体" w:hAnsi="宋体" w:eastAsia="宋体"/>
          <w:color w:val="000000"/>
          <w:sz w:val="35"/>
          <w:lang w:eastAsia="zh-CN"/>
        </w:rPr>
        <w:t>家具</w:t>
      </w:r>
      <w:r>
        <w:rPr>
          <w:rFonts w:hint="eastAsia" w:ascii="宋体" w:hAnsi="宋体" w:eastAsia="宋体"/>
          <w:color w:val="000000"/>
          <w:sz w:val="35"/>
        </w:rPr>
        <w:t>厂</w:t>
      </w:r>
      <w:r>
        <w:drawing>
          <wp:anchor distT="0" distB="0" distL="114300" distR="114300" simplePos="0" relativeHeight="251659264" behindDoc="1" locked="0" layoutInCell="1" allowOverlap="1">
            <wp:simplePos x="0" y="0"/>
            <wp:positionH relativeFrom="page">
              <wp:posOffset>3149600</wp:posOffset>
            </wp:positionH>
            <wp:positionV relativeFrom="paragraph">
              <wp:posOffset>101600</wp:posOffset>
            </wp:positionV>
            <wp:extent cx="1536700" cy="1473200"/>
            <wp:effectExtent l="0" t="0" r="2540" b="4445"/>
            <wp:wrapNone/>
            <wp:docPr id="1"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MP"/>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536700" cy="1473200"/>
                    </a:xfrm>
                    <a:prstGeom prst="rect">
                      <a:avLst/>
                    </a:prstGeom>
                  </pic:spPr>
                </pic:pic>
              </a:graphicData>
            </a:graphic>
          </wp:anchor>
        </w:drawing>
      </w:r>
    </w:p>
    <w:p>
      <w:pPr>
        <w:spacing w:line="336" w:lineRule="auto"/>
        <w:jc w:val="center"/>
        <w:rPr>
          <w:sz w:val="35"/>
        </w:rPr>
      </w:pPr>
      <w:r>
        <w:rPr>
          <w:rFonts w:hint="eastAsia" w:ascii="Calibri" w:hAnsi="Calibri" w:eastAsia="Calibri"/>
          <w:color w:val="000000"/>
          <w:sz w:val="35"/>
        </w:rPr>
        <w:t>编制日期：2018年12月</w:t>
      </w:r>
    </w:p>
    <w:p>
      <w:pPr>
        <w:spacing w:line="216" w:lineRule="auto"/>
        <w:jc w:val="center"/>
        <w:rPr>
          <w:sz w:val="33"/>
        </w:rPr>
        <w:sectPr>
          <w:headerReference r:id="rId3" w:type="default"/>
          <w:footerReference r:id="rId4" w:type="default"/>
          <w:type w:val="continuous"/>
          <w:pgSz w:w="11900" w:h="16400"/>
          <w:pgMar w:top="2880" w:right="1680" w:bottom="2400" w:left="1680" w:header="1440" w:footer="1200" w:gutter="0"/>
          <w:cols w:space="720" w:num="1"/>
        </w:sectPr>
      </w:pPr>
      <w:r>
        <w:rPr>
          <w:rFonts w:hint="eastAsia" w:ascii="宋体" w:hAnsi="宋体" w:eastAsia="宋体"/>
          <w:color w:val="000000"/>
          <w:sz w:val="33"/>
        </w:rPr>
        <w:t>国家环境保护部制</w:t>
      </w:r>
    </w:p>
    <w:p>
      <w:r>
        <w:drawing>
          <wp:anchor distT="0" distB="0" distL="114300" distR="114300" simplePos="0" relativeHeight="251659264" behindDoc="0" locked="0" layoutInCell="1" allowOverlap="1">
            <wp:simplePos x="0" y="0"/>
            <wp:positionH relativeFrom="page">
              <wp:posOffset>3429000</wp:posOffset>
            </wp:positionH>
            <wp:positionV relativeFrom="page">
              <wp:posOffset>977900</wp:posOffset>
            </wp:positionV>
            <wp:extent cx="584200" cy="660400"/>
            <wp:effectExtent l="0" t="0" r="2540" b="4445"/>
            <wp:wrapSquare wrapText="bothSides"/>
            <wp:docPr id="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MAL"/>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84200" cy="6604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1079500</wp:posOffset>
            </wp:positionH>
            <wp:positionV relativeFrom="page">
              <wp:posOffset>1130300</wp:posOffset>
            </wp:positionV>
            <wp:extent cx="5270500" cy="3670300"/>
            <wp:effectExtent l="0" t="0" r="2540" b="4445"/>
            <wp:wrapSquare wrapText="bothSides"/>
            <wp:docPr id="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MAL"/>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270500" cy="367030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page">
              <wp:posOffset>4940300</wp:posOffset>
            </wp:positionH>
            <wp:positionV relativeFrom="page">
              <wp:posOffset>3657600</wp:posOffset>
            </wp:positionV>
            <wp:extent cx="749300" cy="723900"/>
            <wp:effectExtent l="0" t="0" r="2540" b="4445"/>
            <wp:wrapNone/>
            <wp:docPr id="4"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MP"/>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749300" cy="72390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page">
                  <wp:posOffset>1092200</wp:posOffset>
                </wp:positionH>
                <wp:positionV relativeFrom="page">
                  <wp:posOffset>5461000</wp:posOffset>
                </wp:positionV>
                <wp:extent cx="5041900" cy="901700"/>
                <wp:effectExtent l="0" t="0" r="635" b="14605"/>
                <wp:wrapSquare wrapText="bothSides"/>
                <wp:docPr id="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16" w:lineRule="auto"/>
                              <w:ind w:firstLine="620"/>
                              <w:jc w:val="both"/>
                              <w:rPr>
                                <w:sz w:val="31"/>
                              </w:rPr>
                            </w:pPr>
                            <w:r>
                              <w:rPr>
                                <w:rFonts w:hint="eastAsia" w:ascii="宋体" w:hAnsi="宋体" w:eastAsia="宋体"/>
                                <w:color w:val="000000"/>
                                <w:sz w:val="31"/>
                              </w:rPr>
                              <w:t>表使用项目名称： 年产200套免漆家具建设项目</w:t>
                            </w:r>
                          </w:p>
                        </w:txbxContent>
                      </wps:txbx>
                      <wps:bodyPr wrap="square" lIns="25400" tIns="0" rIns="25400" bIns="0">
                        <a:noAutofit/>
                      </wps:bodyPr>
                    </wps:wsp>
                  </a:graphicData>
                </a:graphic>
              </wp:anchor>
            </w:drawing>
          </mc:Choice>
          <mc:Fallback>
            <w:pict>
              <v:shape id="文本框 2" o:spid="_x0000_s1026" o:spt="202" type="#_x0000_t202" style="position:absolute;left:0pt;margin-left:86pt;margin-top:430pt;height:71pt;width:397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kx569YAAAAMAQAA&#10;DwAAAAAAAAABACAAAAAiAAAAZHJzL2Rvd25yZXYueG1sUEsBAhQAFAAAAAgAh07iQCDYF3niAQAA&#10;rAMAAA4AAAAAAAAAAQAgAAAAJQEAAGRycy9lMm9Eb2MueG1sUEsFBgAAAAAGAAYAWQEAAHkFAAAA&#10;AA==&#10;">
                <v:fill on="f" focussize="0,0"/>
                <v:stroke on="f" weight="0.5pt"/>
                <v:imagedata o:title=""/>
                <o:lock v:ext="edit" aspectratio="f"/>
                <v:textbox inset="2pt,0mm,2pt,0mm">
                  <w:txbxContent>
                    <w:p>
                      <w:pPr>
                        <w:spacing w:line="216" w:lineRule="auto"/>
                        <w:ind w:firstLine="620"/>
                        <w:jc w:val="both"/>
                        <w:rPr>
                          <w:sz w:val="31"/>
                        </w:rPr>
                      </w:pPr>
                      <w:r>
                        <w:rPr>
                          <w:rFonts w:hint="eastAsia" w:ascii="宋体" w:hAnsi="宋体" w:eastAsia="宋体"/>
                          <w:color w:val="000000"/>
                          <w:sz w:val="31"/>
                        </w:rPr>
                        <w:t>表使用项目名称： 年产200套免漆家具建设项目</w:t>
                      </w:r>
                    </w:p>
                  </w:txbxContent>
                </v:textbox>
                <w10:wrap type="square"/>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1117600</wp:posOffset>
                </wp:positionH>
                <wp:positionV relativeFrom="page">
                  <wp:posOffset>6261100</wp:posOffset>
                </wp:positionV>
                <wp:extent cx="5067300" cy="482600"/>
                <wp:effectExtent l="0" t="0" r="635" b="14605"/>
                <wp:wrapSquare wrapText="bothSides"/>
                <wp:docPr id="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ind w:firstLine="0"/>
                              <w:jc w:val="both"/>
                              <w:rPr>
                                <w:sz w:val="25"/>
                              </w:rPr>
                            </w:pPr>
                            <w:r>
                              <w:rPr>
                                <w:rFonts w:hint="eastAsia" w:ascii="宋体" w:hAnsi="宋体" w:eastAsia="宋体"/>
                                <w:color w:val="000000"/>
                                <w:sz w:val="25"/>
                              </w:rPr>
                              <w:t>文件类型：     环境影响报 环境影</w:t>
                            </w:r>
                          </w:p>
                        </w:txbxContent>
                      </wps:txbx>
                      <wps:bodyPr wrap="square" lIns="25400" tIns="0" rIns="25400" bIns="0">
                        <a:noAutofit/>
                      </wps:bodyPr>
                    </wps:wsp>
                  </a:graphicData>
                </a:graphic>
              </wp:anchor>
            </w:drawing>
          </mc:Choice>
          <mc:Fallback>
            <w:pict>
              <v:shape id="文本框 2" o:spid="_x0000_s1026" o:spt="202" type="#_x0000_t202" style="position:absolute;left:0pt;margin-left:88pt;margin-top:493pt;height:38pt;width:399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Jv/JtgAAAAM&#10;AQAADwAAAAAAAAABACAAAAAiAAAAZHJzL2Rvd25yZXYueG1sUEsBAhQAFAAAAAgAh07iQIHBZbPj&#10;AQAArAMAAA4AAAAAAAAAAQAgAAAAJwEAAGRycy9lMm9Eb2MueG1sUEsFBgAAAAAGAAYAWQEAAHwF&#10;AAAAAA==&#10;">
                <v:fill on="f" focussize="0,0"/>
                <v:stroke on="f" weight="0.5pt"/>
                <v:imagedata o:title=""/>
                <o:lock v:ext="edit" aspectratio="f"/>
                <v:textbox inset="2pt,0mm,2pt,0mm">
                  <w:txbxContent>
                    <w:p>
                      <w:pPr>
                        <w:spacing w:line="480" w:lineRule="auto"/>
                        <w:ind w:firstLine="0"/>
                        <w:jc w:val="both"/>
                        <w:rPr>
                          <w:sz w:val="25"/>
                        </w:rPr>
                      </w:pPr>
                      <w:r>
                        <w:rPr>
                          <w:rFonts w:hint="eastAsia" w:ascii="宋体" w:hAnsi="宋体" w:eastAsia="宋体"/>
                          <w:color w:val="000000"/>
                          <w:sz w:val="25"/>
                        </w:rPr>
                        <w:t>文件类型：     环境影响报 环境影</w:t>
                      </w:r>
                    </w:p>
                  </w:txbxContent>
                </v:textbox>
                <w10:wrap type="square"/>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1104900</wp:posOffset>
                </wp:positionH>
                <wp:positionV relativeFrom="page">
                  <wp:posOffset>6946900</wp:posOffset>
                </wp:positionV>
                <wp:extent cx="5016500" cy="279400"/>
                <wp:effectExtent l="0" t="0" r="635" b="14605"/>
                <wp:wrapSquare wrapText="bothSides"/>
                <wp:docPr id="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ind w:firstLine="0"/>
                              <w:jc w:val="both"/>
                              <w:rPr>
                                <w:sz w:val="25"/>
                              </w:rPr>
                            </w:pPr>
                            <w:r>
                              <w:rPr>
                                <w:rFonts w:hint="eastAsia" w:ascii="宋体" w:hAnsi="宋体" w:eastAsia="宋体"/>
                                <w:color w:val="000000"/>
                                <w:sz w:val="25"/>
                              </w:rPr>
                              <w:t>适用的评价范围：</w:t>
                            </w:r>
                          </w:p>
                        </w:txbxContent>
                      </wps:txbx>
                      <wps:bodyPr wrap="square" lIns="25400" tIns="0" rIns="25400" bIns="0">
                        <a:noAutofit/>
                      </wps:bodyPr>
                    </wps:wsp>
                  </a:graphicData>
                </a:graphic>
              </wp:anchor>
            </w:drawing>
          </mc:Choice>
          <mc:Fallback>
            <w:pict>
              <v:shape id="文本框 2" o:spid="_x0000_s1026" o:spt="202" type="#_x0000_t202" style="position:absolute;left:0pt;margin-left:87pt;margin-top:547pt;height:22pt;width:395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exjRm2AAAAA0B&#10;AAAPAAAAAAAAAAEAIAAAACIAAABkcnMvZG93bnJldi54bWxQSwECFAAUAAAACACHTuJAJYeoqeIB&#10;AACsAwAADgAAAAAAAAABACAAAAAnAQAAZHJzL2Uyb0RvYy54bWxQSwUGAAAAAAYABgBZAQAAewUA&#10;AAAA&#10;">
                <v:fill on="f" focussize="0,0"/>
                <v:stroke on="f" weight="0.5pt"/>
                <v:imagedata o:title=""/>
                <o:lock v:ext="edit" aspectratio="f"/>
                <v:textbox inset="2pt,0mm,2pt,0mm">
                  <w:txbxContent>
                    <w:p>
                      <w:pPr>
                        <w:spacing w:line="480" w:lineRule="auto"/>
                        <w:ind w:firstLine="0"/>
                        <w:jc w:val="both"/>
                        <w:rPr>
                          <w:sz w:val="25"/>
                        </w:rPr>
                      </w:pPr>
                      <w:r>
                        <w:rPr>
                          <w:rFonts w:hint="eastAsia" w:ascii="宋体" w:hAnsi="宋体" w:eastAsia="宋体"/>
                          <w:color w:val="000000"/>
                          <w:sz w:val="25"/>
                        </w:rPr>
                        <w:t>适用的评价范围：</w:t>
                      </w:r>
                    </w:p>
                  </w:txbxContent>
                </v:textbox>
                <w10:wrap type="square"/>
              </v:shape>
            </w:pict>
          </mc:Fallback>
        </mc:AlternateContent>
      </w:r>
      <w:r>
        <w:drawing>
          <wp:anchor distT="0" distB="0" distL="114300" distR="114300" simplePos="0" relativeHeight="251659264" behindDoc="1" locked="0" layoutInCell="1" allowOverlap="1">
            <wp:simplePos x="0" y="0"/>
            <wp:positionH relativeFrom="page">
              <wp:posOffset>3924300</wp:posOffset>
            </wp:positionH>
            <wp:positionV relativeFrom="page">
              <wp:posOffset>7175500</wp:posOffset>
            </wp:positionV>
            <wp:extent cx="749300" cy="685800"/>
            <wp:effectExtent l="0" t="0" r="2540" b="4445"/>
            <wp:wrapNone/>
            <wp:docPr id="11"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MP"/>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749300" cy="68580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page">
                  <wp:posOffset>1117600</wp:posOffset>
                </wp:positionH>
                <wp:positionV relativeFrom="page">
                  <wp:posOffset>7658100</wp:posOffset>
                </wp:positionV>
                <wp:extent cx="5194300" cy="279400"/>
                <wp:effectExtent l="0" t="0" r="635" b="14605"/>
                <wp:wrapSquare wrapText="bothSides"/>
                <wp:docPr id="1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ind w:firstLine="0"/>
                              <w:jc w:val="both"/>
                              <w:rPr>
                                <w:sz w:val="25"/>
                              </w:rPr>
                            </w:pPr>
                            <w:r>
                              <w:rPr>
                                <w:rFonts w:hint="eastAsia" w:ascii="宋体" w:hAnsi="宋体" w:eastAsia="宋体"/>
                                <w:color w:val="000000"/>
                                <w:sz w:val="25"/>
                              </w:rPr>
                              <w:t>环评机构法定代表人：  王光银      （签章）</w:t>
                            </w:r>
                          </w:p>
                        </w:txbxContent>
                      </wps:txbx>
                      <wps:bodyPr wrap="square" lIns="25400" tIns="0" rIns="25400" bIns="0">
                        <a:noAutofit/>
                      </wps:bodyPr>
                    </wps:wsp>
                  </a:graphicData>
                </a:graphic>
              </wp:anchor>
            </w:drawing>
          </mc:Choice>
          <mc:Fallback>
            <w:pict>
              <v:shape id="文本框 2" o:spid="_x0000_s1026" o:spt="202" type="#_x0000_t202" style="position:absolute;left:0pt;margin-left:88pt;margin-top:603pt;height:22pt;width:409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H5jt2AAAAA0B&#10;AAAPAAAAAAAAAAEAIAAAACIAAABkcnMvZG93bnJldi54bWxQSwECFAAUAAAACACHTuJASLDEO+IB&#10;AACtAwAADgAAAAAAAAABACAAAAAnAQAAZHJzL2Uyb0RvYy54bWxQSwUGAAAAAAYABgBZAQAAewUA&#10;AAAA&#10;">
                <v:fill on="f" focussize="0,0"/>
                <v:stroke on="f" weight="0.5pt"/>
                <v:imagedata o:title=""/>
                <o:lock v:ext="edit" aspectratio="f"/>
                <v:textbox inset="2pt,0mm,2pt,0mm">
                  <w:txbxContent>
                    <w:p>
                      <w:pPr>
                        <w:spacing w:line="480" w:lineRule="auto"/>
                        <w:ind w:firstLine="0"/>
                        <w:jc w:val="both"/>
                        <w:rPr>
                          <w:sz w:val="25"/>
                        </w:rPr>
                      </w:pPr>
                      <w:r>
                        <w:rPr>
                          <w:rFonts w:hint="eastAsia" w:ascii="宋体" w:hAnsi="宋体" w:eastAsia="宋体"/>
                          <w:color w:val="000000"/>
                          <w:sz w:val="25"/>
                        </w:rPr>
                        <w:t>环评机构法定代表人：  王光银      （签章）</w:t>
                      </w:r>
                    </w:p>
                  </w:txbxContent>
                </v:textbox>
                <w10:wrap type="square"/>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1130300</wp:posOffset>
                </wp:positionH>
                <wp:positionV relativeFrom="page">
                  <wp:posOffset>7670800</wp:posOffset>
                </wp:positionV>
                <wp:extent cx="5194300" cy="1041400"/>
                <wp:effectExtent l="0" t="0" r="635" b="14605"/>
                <wp:wrapSquare wrapText="bothSides"/>
                <wp:docPr id="1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ind w:firstLine="0"/>
                              <w:jc w:val="both"/>
                              <w:rPr>
                                <w:sz w:val="25"/>
                              </w:rPr>
                            </w:pPr>
                            <w:r>
                              <w:rPr>
                                <w:rFonts w:hint="eastAsia" w:ascii="宋体" w:hAnsi="宋体" w:eastAsia="宋体"/>
                                <w:color w:val="000000"/>
                                <w:sz w:val="25"/>
                              </w:rPr>
                              <w:t>年产200主持编制机构：  云南蓝恒环保科技有限公司   （签章）</w:t>
                            </w:r>
                          </w:p>
                        </w:txbxContent>
                      </wps:txbx>
                      <wps:bodyPr wrap="square" lIns="25400" tIns="0" rIns="25400" bIns="0">
                        <a:noAutofit/>
                      </wps:bodyPr>
                    </wps:wsp>
                  </a:graphicData>
                </a:graphic>
              </wp:anchor>
            </w:drawing>
          </mc:Choice>
          <mc:Fallback>
            <w:pict>
              <v:shape id="文本框 2" o:spid="_x0000_s1026" o:spt="202" type="#_x0000_t202" style="position:absolute;left:0pt;margin-left:89pt;margin-top:604pt;height:82pt;width:409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AhMv3ZAAAA&#10;DQEAAA8AAAAAAAAAAQAgAAAAIgAAAGRycy9kb3ducmV2LnhtbFBLAQIUABQAAAAIAIdO4kDqnCO+&#10;4wEAAK0DAAAOAAAAAAAAAAEAIAAAACgBAABkcnMvZTJvRG9jLnhtbFBLBQYAAAAABgAGAFkBAAB9&#10;BQAAAAA=&#10;">
                <v:fill on="f" focussize="0,0"/>
                <v:stroke on="f" weight="0.5pt"/>
                <v:imagedata o:title=""/>
                <o:lock v:ext="edit" aspectratio="f"/>
                <v:textbox inset="2pt,0mm,2pt,0mm">
                  <w:txbxContent>
                    <w:p>
                      <w:pPr>
                        <w:spacing w:line="480" w:lineRule="auto"/>
                        <w:ind w:firstLine="0"/>
                        <w:jc w:val="both"/>
                        <w:rPr>
                          <w:sz w:val="25"/>
                        </w:rPr>
                      </w:pPr>
                      <w:r>
                        <w:rPr>
                          <w:rFonts w:hint="eastAsia" w:ascii="宋体" w:hAnsi="宋体" w:eastAsia="宋体"/>
                          <w:color w:val="000000"/>
                          <w:sz w:val="25"/>
                        </w:rPr>
                        <w:t>年产200主持编制机构：  云南蓝恒环保科技有限公司   （签章）</w:t>
                      </w:r>
                    </w:p>
                  </w:txbxContent>
                </v:textbox>
                <w10:wrap type="square"/>
              </v:shape>
            </w:pict>
          </mc:Fallback>
        </mc:AlternateContent>
      </w:r>
      <w:r>
        <w:drawing>
          <wp:anchor distT="0" distB="0" distL="114300" distR="114300" simplePos="0" relativeHeight="251659264" behindDoc="1" locked="0" layoutInCell="1" allowOverlap="1">
            <wp:simplePos x="0" y="0"/>
            <wp:positionH relativeFrom="page">
              <wp:posOffset>3263900</wp:posOffset>
            </wp:positionH>
            <wp:positionV relativeFrom="page">
              <wp:posOffset>7886700</wp:posOffset>
            </wp:positionV>
            <wp:extent cx="1511300" cy="1524000"/>
            <wp:effectExtent l="0" t="0" r="2540" b="4445"/>
            <wp:wrapNone/>
            <wp:docPr id="16"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MP"/>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511300" cy="1524000"/>
                    </a:xfrm>
                    <a:prstGeom prst="rect">
                      <a:avLst/>
                    </a:prstGeom>
                  </pic:spPr>
                </pic:pic>
              </a:graphicData>
            </a:graphic>
          </wp:anchor>
        </w:drawing>
      </w:r>
    </w:p>
    <w:p>
      <w:pPr>
        <w:sectPr>
          <w:type w:val="continuous"/>
          <w:pgSz w:w="11900" w:h="16400"/>
          <w:pgMar w:top="0" w:right="0" w:bottom="0" w:left="0" w:header="0" w:footer="0" w:gutter="0"/>
          <w:cols w:space="720" w:num="1"/>
        </w:sectPr>
      </w:pPr>
    </w:p>
    <w:p>
      <w:pPr>
        <w:spacing w:line="1" w:lineRule="exact"/>
      </w:pPr>
      <w:r>
        <w:drawing>
          <wp:anchor distT="0" distB="0" distL="114300" distR="114300" simplePos="0" relativeHeight="251659264" behindDoc="1" locked="0" layoutInCell="1" allowOverlap="1">
            <wp:simplePos x="0" y="0"/>
            <wp:positionH relativeFrom="page">
              <wp:posOffset>3429000</wp:posOffset>
            </wp:positionH>
            <wp:positionV relativeFrom="page">
              <wp:posOffset>546100</wp:posOffset>
            </wp:positionV>
            <wp:extent cx="1358900" cy="1714500"/>
            <wp:effectExtent l="0" t="0" r="2540" b="4445"/>
            <wp:wrapNone/>
            <wp:docPr id="17"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358900" cy="1714500"/>
                    </a:xfrm>
                    <a:prstGeom prst="rect">
                      <a:avLst/>
                    </a:prstGeom>
                  </pic:spPr>
                </pic:pic>
              </a:graphicData>
            </a:graphic>
          </wp:anchor>
        </w:drawing>
      </w:r>
    </w:p>
    <w:p>
      <w:pPr>
        <w:spacing w:line="216" w:lineRule="auto"/>
        <w:jc w:val="center"/>
        <w:rPr>
          <w:sz w:val="32"/>
        </w:rPr>
      </w:pPr>
      <w:r>
        <w:rPr>
          <w:rFonts w:hint="eastAsia" w:ascii="宋体" w:hAnsi="宋体" w:eastAsia="宋体"/>
          <w:color w:val="000000"/>
          <w:sz w:val="32"/>
        </w:rPr>
        <w:t>年产200套免漆家具建设项目环境影响报告表编制人名单</w:t>
      </w:r>
    </w:p>
    <w:p>
      <w:pPr>
        <w:spacing w:line="240" w:lineRule="auto"/>
        <w:ind w:firstLine="0"/>
        <w:jc w:val="both"/>
        <w:rPr>
          <w:sz w:val="24"/>
        </w:rPr>
      </w:pPr>
    </w:p>
    <w:p>
      <w:pPr>
        <w:spacing w:line="240" w:lineRule="auto"/>
        <w:ind w:firstLine="0"/>
        <w:jc w:val="both"/>
        <w:rPr>
          <w:sz w:val="24"/>
        </w:rPr>
      </w:pPr>
    </w:p>
    <w:tbl>
      <w:tblPr>
        <w:tblStyle w:val="2"/>
        <w:tblW w:w="98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627"/>
        <w:gridCol w:w="566"/>
        <w:gridCol w:w="1215"/>
        <w:gridCol w:w="1843"/>
        <w:gridCol w:w="1924"/>
        <w:gridCol w:w="1924"/>
        <w:gridCol w:w="172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60" w:hRule="atLeast"/>
          <w:jc w:val="center"/>
        </w:trPr>
        <w:tc>
          <w:tcPr>
            <w:tcW w:w="1180"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编制主持人</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姓名</w:t>
            </w:r>
          </w:p>
        </w:tc>
        <w:tc>
          <w:tcPr>
            <w:tcW w:w="1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职（执）业资格证书编号</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登记（注册证）编号</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专业类别</w:t>
            </w:r>
          </w:p>
        </w:tc>
        <w:tc>
          <w:tcPr>
            <w:tcW w:w="1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本人签名</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00" w:hRule="atLeast"/>
          <w:jc w:val="center"/>
        </w:trPr>
        <w:tc>
          <w:tcPr>
            <w:tcW w:w="1180" w:type="dxa"/>
            <w:gridSpan w:val="2"/>
            <w:vMerge w:val="continue"/>
            <w:tcBorders>
              <w:left w:val="single" w:color="000000" w:sz="4" w:space="0"/>
            </w:tcBorders>
          </w:tc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旷文艳</w:t>
            </w:r>
          </w:p>
        </w:tc>
        <w:tc>
          <w:tcPr>
            <w:tcW w:w="1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00019439</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B343000806</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采掘类</w:t>
            </w:r>
          </w:p>
        </w:tc>
        <w:tc>
          <w:tcPr>
            <w:tcW w:w="1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 xml:space="preserve"> 文艳</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240" w:hRule="atLeast"/>
          <w:jc w:val="center"/>
        </w:trPr>
        <w:tc>
          <w:tcPr>
            <w:tcW w:w="62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ind w:firstLine="0"/>
              <w:jc w:val="both"/>
              <w:rPr>
                <w:sz w:val="21"/>
              </w:rPr>
            </w:pPr>
            <w:r>
              <w:rPr>
                <w:rFonts w:hint="eastAsia" w:ascii="宋体" w:hAnsi="宋体" w:eastAsia="宋体"/>
                <w:color w:val="000000"/>
                <w:sz w:val="21"/>
              </w:rPr>
              <w:t>主要编制人员情况</w:t>
            </w:r>
          </w:p>
        </w:tc>
        <w:tc>
          <w:tcPr>
            <w:tcW w:w="560"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sz w:val="21"/>
              </w:rPr>
            </w:pPr>
            <w:r>
              <w:rPr>
                <w:rFonts w:hint="eastAsia" w:ascii="宋体" w:hAnsi="宋体" w:eastAsia="宋体"/>
                <w:color w:val="000000"/>
                <w:sz w:val="21"/>
              </w:rPr>
              <w:t>序号</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姓名</w:t>
            </w:r>
          </w:p>
        </w:tc>
        <w:tc>
          <w:tcPr>
            <w:tcW w:w="1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职（执）业资格证书编号</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登记（注册证）编号</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编制内容</w:t>
            </w:r>
          </w:p>
        </w:tc>
        <w:tc>
          <w:tcPr>
            <w:tcW w:w="1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本人签名</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480" w:hRule="atLeast"/>
          <w:jc w:val="center"/>
        </w:trPr>
        <w:tc>
          <w:tcPr>
            <w:tcW w:w="620" w:type="dxa"/>
            <w:vMerge w:val="continue"/>
            <w:tcBorders>
              <w:left w:val="single" w:color="000000" w:sz="4" w:space="0"/>
            </w:tcBorders>
          </w:tcPr>
          <w:p/>
        </w:tc>
        <w:tc>
          <w:tcPr>
            <w:tcW w:w="5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1</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李清报</w:t>
            </w:r>
          </w:p>
        </w:tc>
        <w:tc>
          <w:tcPr>
            <w:tcW w:w="1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0004460</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B343000605</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项目概括、自然社会环境概括、环境现状评价</w:t>
            </w:r>
          </w:p>
        </w:tc>
        <w:tc>
          <w:tcPr>
            <w:tcW w:w="1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李清报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860" w:hRule="atLeast"/>
          <w:jc w:val="center"/>
        </w:trPr>
        <w:tc>
          <w:tcPr>
            <w:tcW w:w="620" w:type="dxa"/>
            <w:vMerge w:val="continue"/>
            <w:tcBorders>
              <w:left w:val="single" w:color="000000" w:sz="4" w:space="0"/>
            </w:tcBorders>
          </w:tcPr>
          <w:p/>
        </w:tc>
        <w:tc>
          <w:tcPr>
            <w:tcW w:w="5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旷文艳</w:t>
            </w:r>
          </w:p>
        </w:tc>
        <w:tc>
          <w:tcPr>
            <w:tcW w:w="1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00019439</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B343000806</w:t>
            </w:r>
          </w:p>
        </w:tc>
        <w:tc>
          <w:tcPr>
            <w:tcW w:w="19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工程分析、环境影响分析、结论</w:t>
            </w:r>
          </w:p>
        </w:tc>
        <w:tc>
          <w:tcPr>
            <w:tcW w:w="1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旷文艳</w:t>
            </w:r>
          </w:p>
        </w:tc>
      </w:tr>
    </w:tbl>
    <w:p>
      <w:pPr>
        <w:spacing w:line="1" w:lineRule="exact"/>
        <w:sectPr>
          <w:headerReference r:id="rId5" w:type="default"/>
          <w:footerReference r:id="rId6" w:type="default"/>
          <w:type w:val="continuous"/>
          <w:pgSz w:w="11900" w:h="16400"/>
          <w:pgMar w:top="1920" w:right="1920" w:bottom="2880" w:left="1920" w:header="960" w:footer="1440" w:gutter="0"/>
          <w:cols w:space="720" w:num="1"/>
        </w:sectPr>
      </w:pPr>
    </w:p>
    <w:p>
      <w:pPr>
        <w:spacing w:line="216" w:lineRule="auto"/>
        <w:jc w:val="center"/>
        <w:rPr>
          <w:sz w:val="38"/>
        </w:rPr>
      </w:pPr>
      <w:r>
        <w:rPr>
          <w:rFonts w:hint="eastAsia" w:ascii="宋体" w:hAnsi="宋体" w:eastAsia="宋体"/>
          <w:color w:val="000000"/>
          <w:sz w:val="38"/>
        </w:rPr>
        <w:t>《建设项目环境影响报告表》编制说明</w:t>
      </w:r>
    </w:p>
    <w:p>
      <w:pPr>
        <w:spacing w:line="456" w:lineRule="auto"/>
        <w:ind w:firstLine="560"/>
        <w:jc w:val="both"/>
        <w:rPr>
          <w:sz w:val="28"/>
        </w:rPr>
      </w:pPr>
      <w:r>
        <w:rPr>
          <w:rFonts w:hint="eastAsia" w:ascii="宋体" w:hAnsi="宋体" w:eastAsia="宋体"/>
          <w:color w:val="000000"/>
          <w:sz w:val="28"/>
        </w:rPr>
        <w:t>《建设项目环境影响报告表》由具有从事环境影响评价工作资质的单位编制。</w:t>
      </w:r>
    </w:p>
    <w:p>
      <w:pPr>
        <w:spacing w:line="456" w:lineRule="auto"/>
        <w:ind w:firstLine="0"/>
        <w:jc w:val="both"/>
        <w:rPr>
          <w:sz w:val="28"/>
        </w:rPr>
      </w:pPr>
      <w:r>
        <w:rPr>
          <w:rFonts w:hint="eastAsia" w:ascii="宋体" w:hAnsi="宋体" w:eastAsia="宋体"/>
          <w:color w:val="000000"/>
          <w:sz w:val="28"/>
        </w:rPr>
        <w:t>1．项目名称----指项目立项批复时的名称，应不超过30个字（两个英文字段作一个汉字）。</w:t>
      </w:r>
    </w:p>
    <w:p>
      <w:pPr>
        <w:spacing w:line="456" w:lineRule="auto"/>
        <w:ind w:firstLine="0"/>
        <w:jc w:val="both"/>
        <w:rPr>
          <w:sz w:val="28"/>
        </w:rPr>
      </w:pPr>
      <w:r>
        <w:rPr>
          <w:rFonts w:hint="eastAsia" w:ascii="宋体" w:hAnsi="宋体" w:eastAsia="宋体"/>
          <w:color w:val="000000"/>
          <w:sz w:val="28"/>
        </w:rPr>
        <w:t>2．建设地点----指项目所在地详细地址、公路、铁路应填写起止地点。</w:t>
      </w:r>
    </w:p>
    <w:p>
      <w:pPr>
        <w:spacing w:line="456" w:lineRule="auto"/>
        <w:ind w:firstLine="560"/>
        <w:jc w:val="both"/>
        <w:rPr>
          <w:sz w:val="28"/>
        </w:rPr>
      </w:pPr>
      <w:r>
        <w:rPr>
          <w:rFonts w:hint="eastAsia" w:ascii="宋体" w:hAnsi="宋体" w:eastAsia="宋体"/>
          <w:color w:val="000000"/>
          <w:sz w:val="28"/>
        </w:rPr>
        <w:t>3．行业类别----按国标填写。</w:t>
      </w:r>
    </w:p>
    <w:p>
      <w:pPr>
        <w:spacing w:line="456" w:lineRule="auto"/>
        <w:ind w:firstLine="560"/>
        <w:jc w:val="both"/>
        <w:rPr>
          <w:sz w:val="28"/>
        </w:rPr>
      </w:pPr>
      <w:r>
        <w:rPr>
          <w:rFonts w:hint="eastAsia" w:ascii="宋体" w:hAnsi="宋体" w:eastAsia="宋体"/>
          <w:color w:val="000000"/>
          <w:sz w:val="28"/>
        </w:rPr>
        <w:t>4．总投资----指项目投资总额。</w:t>
      </w:r>
    </w:p>
    <w:p>
      <w:pPr>
        <w:spacing w:line="456" w:lineRule="auto"/>
        <w:ind w:firstLine="0"/>
        <w:jc w:val="both"/>
        <w:rPr>
          <w:sz w:val="28"/>
        </w:rPr>
      </w:pPr>
      <w:r>
        <w:rPr>
          <w:rFonts w:hint="eastAsia" w:ascii="宋体" w:hAnsi="宋体" w:eastAsia="宋体"/>
          <w:color w:val="000000"/>
          <w:sz w:val="28"/>
        </w:rPr>
        <w:t>5．主要环境保护目标----指项目区周围一定范围内集中居民住宅、学校、医院、保护文物、风景名胜区、水源地和生态敏感点等，应尽可能给出保护目标、性质、规模和距厂界距离等。</w:t>
      </w:r>
    </w:p>
    <w:p>
      <w:pPr>
        <w:spacing w:line="456" w:lineRule="auto"/>
        <w:ind w:firstLine="0"/>
        <w:jc w:val="both"/>
        <w:rPr>
          <w:sz w:val="28"/>
        </w:rPr>
      </w:pPr>
      <w:r>
        <w:rPr>
          <w:rFonts w:hint="eastAsia" w:ascii="宋体" w:hAnsi="宋体" w:eastAsia="宋体"/>
          <w:color w:val="000000"/>
          <w:sz w:val="28"/>
        </w:rPr>
        <w:t>6．结论与建议----给出本项目清洁生产、达标排放和总量控制的分析结论，确定污染防治措施的有效性，说明本项目对环境造成的影响，给出建设项目环境可行性的明确结论。同时提出减少环境影响的其它建议。</w:t>
      </w:r>
    </w:p>
    <w:p>
      <w:pPr>
        <w:spacing w:line="456" w:lineRule="auto"/>
        <w:ind w:firstLine="560"/>
        <w:jc w:val="both"/>
        <w:rPr>
          <w:sz w:val="28"/>
        </w:rPr>
      </w:pPr>
      <w:r>
        <w:rPr>
          <w:rFonts w:hint="eastAsia" w:ascii="宋体" w:hAnsi="宋体" w:eastAsia="宋体"/>
          <w:color w:val="000000"/>
          <w:sz w:val="28"/>
        </w:rPr>
        <w:t>7．预审意见----由行业主管部门填写答复意见，无主管部门项目，可不填。</w:t>
      </w:r>
    </w:p>
    <w:p>
      <w:pPr>
        <w:spacing w:line="456" w:lineRule="auto"/>
        <w:ind w:firstLine="560"/>
        <w:jc w:val="both"/>
        <w:rPr>
          <w:sz w:val="28"/>
        </w:rPr>
        <w:sectPr>
          <w:headerReference r:id="rId7" w:type="default"/>
          <w:footerReference r:id="rId8" w:type="default"/>
          <w:type w:val="continuous"/>
          <w:pgSz w:w="11900" w:h="16820"/>
          <w:pgMar w:top="1200" w:right="1200" w:bottom="2880" w:left="1200" w:header="600" w:footer="1440" w:gutter="0"/>
          <w:cols w:space="720" w:num="1"/>
        </w:sectPr>
      </w:pPr>
      <w:r>
        <w:rPr>
          <w:rFonts w:hint="eastAsia" w:ascii="宋体" w:hAnsi="宋体" w:eastAsia="宋体"/>
          <w:color w:val="000000"/>
          <w:sz w:val="28"/>
        </w:rPr>
        <w:t>8．审批意见----由负责审批该项目的环境保护行政主管部门批复。</w:t>
      </w:r>
    </w:p>
    <w:p>
      <w:pPr>
        <w:spacing w:line="240" w:lineRule="auto"/>
        <w:ind w:firstLine="0"/>
        <w:jc w:val="both"/>
        <w:rPr>
          <w:sz w:val="30"/>
        </w:rPr>
      </w:pPr>
      <w:r>
        <w:rPr>
          <w:rFonts w:hint="eastAsia" w:ascii="宋体" w:hAnsi="宋体" w:eastAsia="宋体"/>
          <w:color w:val="000000"/>
          <w:sz w:val="30"/>
        </w:rPr>
        <w:t>建设项目基本情况</w:t>
      </w:r>
    </w:p>
    <w:tbl>
      <w:tblPr>
        <w:tblStyle w:val="2"/>
        <w:tblW w:w="95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374"/>
        <w:gridCol w:w="2081"/>
        <w:gridCol w:w="606"/>
        <w:gridCol w:w="929"/>
        <w:gridCol w:w="1455"/>
        <w:gridCol w:w="141"/>
        <w:gridCol w:w="1172"/>
        <w:gridCol w:w="121"/>
        <w:gridCol w:w="162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项目名称</w:t>
            </w:r>
          </w:p>
        </w:tc>
        <w:tc>
          <w:tcPr>
            <w:tcW w:w="7860"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年产200套免漆家具建设项目</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建设单位</w:t>
            </w:r>
          </w:p>
        </w:tc>
        <w:tc>
          <w:tcPr>
            <w:tcW w:w="7860"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滑县白道口博骏</w:t>
            </w:r>
            <w:r>
              <w:rPr>
                <w:rFonts w:hint="eastAsia" w:ascii="宋体" w:hAnsi="宋体" w:eastAsia="宋体"/>
                <w:color w:val="000000"/>
                <w:sz w:val="24"/>
                <w:lang w:eastAsia="zh-CN"/>
              </w:rPr>
              <w:t>家具</w:t>
            </w:r>
            <w:r>
              <w:rPr>
                <w:rFonts w:hint="eastAsia" w:ascii="宋体" w:hAnsi="宋体" w:eastAsia="宋体"/>
                <w:color w:val="000000"/>
                <w:sz w:val="24"/>
              </w:rPr>
              <w:t>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法人代表</w:t>
            </w:r>
          </w:p>
        </w:tc>
        <w:tc>
          <w:tcPr>
            <w:tcW w:w="358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王锁成</w:t>
            </w:r>
          </w:p>
        </w:tc>
        <w:tc>
          <w:tcPr>
            <w:tcW w:w="14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联系人</w:t>
            </w:r>
          </w:p>
        </w:tc>
        <w:tc>
          <w:tcPr>
            <w:tcW w:w="284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王锁成</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通讯地址</w:t>
            </w:r>
          </w:p>
        </w:tc>
        <w:tc>
          <w:tcPr>
            <w:tcW w:w="7860"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滑县白道口镇白道口村东头路南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联系电话</w:t>
            </w:r>
          </w:p>
        </w:tc>
        <w:tc>
          <w:tcPr>
            <w:tcW w:w="26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15670755986</w:t>
            </w:r>
          </w:p>
        </w:tc>
        <w:tc>
          <w:tcPr>
            <w:tcW w:w="9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传真</w:t>
            </w:r>
          </w:p>
        </w:tc>
        <w:tc>
          <w:tcPr>
            <w:tcW w:w="14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w:t>
            </w: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邮政编码</w:t>
            </w:r>
          </w:p>
        </w:tc>
        <w:tc>
          <w:tcPr>
            <w:tcW w:w="154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Calibri" w:hAnsi="Calibri" w:eastAsia="Calibri"/>
                <w:color w:val="000000"/>
                <w:sz w:val="24"/>
              </w:rPr>
              <w:t>456462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建设地点</w:t>
            </w:r>
          </w:p>
        </w:tc>
        <w:tc>
          <w:tcPr>
            <w:tcW w:w="7860"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滑县白道口镇白道口村东头路南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立项审批部门</w:t>
            </w:r>
          </w:p>
        </w:tc>
        <w:tc>
          <w:tcPr>
            <w:tcW w:w="358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滑县发展和改革委员会</w:t>
            </w:r>
          </w:p>
        </w:tc>
        <w:tc>
          <w:tcPr>
            <w:tcW w:w="15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项目代码</w:t>
            </w:r>
          </w:p>
        </w:tc>
        <w:tc>
          <w:tcPr>
            <w:tcW w:w="27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2017-410526-21-03-025121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0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建设性质</w:t>
            </w:r>
          </w:p>
        </w:tc>
        <w:tc>
          <w:tcPr>
            <w:tcW w:w="358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新建 改扩建□技改口</w:t>
            </w:r>
          </w:p>
        </w:tc>
        <w:tc>
          <w:tcPr>
            <w:tcW w:w="15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行业类别及代码</w:t>
            </w:r>
          </w:p>
        </w:tc>
        <w:tc>
          <w:tcPr>
            <w:tcW w:w="27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C2110木质家具制造</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2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占地面积（平方米）</w:t>
            </w:r>
          </w:p>
        </w:tc>
        <w:tc>
          <w:tcPr>
            <w:tcW w:w="358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4330</w:t>
            </w:r>
          </w:p>
        </w:tc>
        <w:tc>
          <w:tcPr>
            <w:tcW w:w="15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绿化面积（平方米）</w:t>
            </w:r>
          </w:p>
        </w:tc>
        <w:tc>
          <w:tcPr>
            <w:tcW w:w="27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8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总投资（万元）</w:t>
            </w:r>
          </w:p>
        </w:tc>
        <w:tc>
          <w:tcPr>
            <w:tcW w:w="20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20</w:t>
            </w:r>
          </w:p>
        </w:tc>
        <w:tc>
          <w:tcPr>
            <w:tcW w:w="15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其中：环保投资（万元）</w:t>
            </w:r>
          </w:p>
        </w:tc>
        <w:tc>
          <w:tcPr>
            <w:tcW w:w="15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5.6</w:t>
            </w:r>
          </w:p>
        </w:tc>
        <w:tc>
          <w:tcPr>
            <w:tcW w:w="12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环保投资占总投资比例</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0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评价经费（万元）</w:t>
            </w:r>
          </w:p>
        </w:tc>
        <w:tc>
          <w:tcPr>
            <w:tcW w:w="20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w:t>
            </w:r>
          </w:p>
        </w:tc>
        <w:tc>
          <w:tcPr>
            <w:tcW w:w="310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预期投产日期</w:t>
            </w:r>
          </w:p>
        </w:tc>
        <w:tc>
          <w:tcPr>
            <w:tcW w:w="27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2019年2月</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900" w:hRule="atLeast"/>
          <w:jc w:val="center"/>
        </w:trPr>
        <w:tc>
          <w:tcPr>
            <w:tcW w:w="9220" w:type="dxa"/>
            <w:gridSpan w:val="9"/>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30"/>
              </w:rPr>
            </w:pPr>
            <w:r>
              <w:rPr>
                <w:rFonts w:hint="eastAsia" w:ascii="宋体" w:hAnsi="宋体" w:eastAsia="宋体"/>
                <w:color w:val="000000"/>
                <w:sz w:val="30"/>
              </w:rPr>
              <w:t>项目内容及规模：</w:t>
            </w:r>
          </w:p>
          <w:p>
            <w:pPr>
              <w:spacing w:line="240" w:lineRule="auto"/>
              <w:ind w:firstLine="0"/>
              <w:jc w:val="both"/>
              <w:rPr>
                <w:sz w:val="24"/>
              </w:rPr>
            </w:pPr>
            <w:r>
              <w:rPr>
                <w:rFonts w:hint="eastAsia" w:ascii="宋体" w:hAnsi="宋体" w:eastAsia="宋体"/>
                <w:color w:val="000000"/>
                <w:sz w:val="24"/>
              </w:rPr>
              <w:t>1、项目由来</w:t>
            </w:r>
          </w:p>
          <w:p>
            <w:pPr>
              <w:spacing w:line="240" w:lineRule="auto"/>
              <w:ind w:firstLine="480"/>
              <w:jc w:val="both"/>
              <w:rPr>
                <w:sz w:val="24"/>
              </w:rPr>
            </w:pPr>
            <w:r>
              <w:rPr>
                <w:rFonts w:hint="eastAsia" w:ascii="宋体" w:hAnsi="宋体" w:eastAsia="宋体"/>
                <w:color w:val="000000"/>
                <w:sz w:val="24"/>
              </w:rPr>
              <w:t>滑县白道口博骏</w:t>
            </w:r>
            <w:r>
              <w:rPr>
                <w:rFonts w:hint="eastAsia" w:ascii="宋体" w:hAnsi="宋体" w:eastAsia="宋体"/>
                <w:color w:val="000000"/>
                <w:sz w:val="24"/>
                <w:lang w:eastAsia="zh-CN"/>
              </w:rPr>
              <w:t>家具</w:t>
            </w:r>
            <w:r>
              <w:rPr>
                <w:rFonts w:hint="eastAsia" w:ascii="宋体" w:hAnsi="宋体" w:eastAsia="宋体"/>
                <w:color w:val="000000"/>
                <w:sz w:val="24"/>
              </w:rPr>
              <w:t>厂是一家专门木质家具生产的企业，目前拟投资20万元在滑县白道口镇白道口村东头路南建设年产200套免漆家具建设项目。该项目租用滑县白道口镇东</w:t>
            </w:r>
            <w:r>
              <w:rPr>
                <w:rFonts w:hint="eastAsia" w:ascii="宋体" w:hAnsi="宋体" w:eastAsia="宋体"/>
                <w:color w:val="000000"/>
                <w:sz w:val="24"/>
                <w:lang w:eastAsia="zh-CN"/>
              </w:rPr>
              <w:t>家具</w:t>
            </w:r>
            <w:r>
              <w:rPr>
                <w:rFonts w:hint="eastAsia" w:ascii="宋体" w:hAnsi="宋体" w:eastAsia="宋体"/>
                <w:color w:val="000000"/>
                <w:sz w:val="24"/>
              </w:rPr>
              <w:t>厂闲置厂房进行建设（由于经营不善滑县白道口镇东</w:t>
            </w:r>
            <w:r>
              <w:rPr>
                <w:rFonts w:hint="eastAsia" w:ascii="宋体" w:hAnsi="宋体" w:eastAsia="宋体"/>
                <w:color w:val="000000"/>
                <w:sz w:val="24"/>
                <w:lang w:eastAsia="zh-CN"/>
              </w:rPr>
              <w:t>家具</w:t>
            </w:r>
            <w:r>
              <w:rPr>
                <w:rFonts w:hint="eastAsia" w:ascii="宋体" w:hAnsi="宋体" w:eastAsia="宋体"/>
                <w:color w:val="000000"/>
                <w:sz w:val="24"/>
              </w:rPr>
              <w:t>厂已经倒闭，根据调查，该厂无环评手续），主要产品包括衣柜、低柜、梳妆台、大床。</w:t>
            </w:r>
          </w:p>
          <w:p>
            <w:pPr>
              <w:spacing w:line="240" w:lineRule="auto"/>
              <w:ind w:firstLine="480"/>
              <w:jc w:val="both"/>
              <w:rPr>
                <w:sz w:val="24"/>
              </w:rPr>
            </w:pPr>
            <w:r>
              <w:rPr>
                <w:rFonts w:hint="eastAsia" w:ascii="宋体" w:hAnsi="宋体" w:eastAsia="宋体"/>
                <w:color w:val="000000"/>
                <w:sz w:val="24"/>
              </w:rPr>
              <w:t>目前本项目已取得滑县发展和改革委员会备案证明，项目代码为：2017-410526-21-03-025121。根据《产业结构调整指导目录（2011年本）》（2013年修正），本项目不属于鼓励类、淘汰类、限制类，为允许类，符合国家产业政策要求。</w:t>
            </w:r>
          </w:p>
          <w:p>
            <w:pPr>
              <w:spacing w:line="240" w:lineRule="auto"/>
              <w:ind w:firstLine="480"/>
              <w:jc w:val="both"/>
              <w:rPr>
                <w:sz w:val="24"/>
              </w:rPr>
            </w:pPr>
            <w:r>
              <w:rPr>
                <w:rFonts w:hint="eastAsia" w:ascii="宋体" w:hAnsi="宋体" w:eastAsia="宋体"/>
                <w:color w:val="000000"/>
                <w:sz w:val="24"/>
              </w:rPr>
              <w:t>根据《中华人民共和国环境保护法》、《中华人民共和国环境影响评价法》、《建设项目环境保护管理条例》（2017年10月1日起施行）等有关环保法规，本项目须进行环境影响评价。滑县白道口博骏</w:t>
            </w:r>
            <w:r>
              <w:rPr>
                <w:rFonts w:hint="eastAsia" w:ascii="宋体" w:hAnsi="宋体" w:eastAsia="宋体"/>
                <w:color w:val="000000"/>
                <w:sz w:val="24"/>
                <w:lang w:eastAsia="zh-CN"/>
              </w:rPr>
              <w:t>家具</w:t>
            </w:r>
            <w:r>
              <w:rPr>
                <w:rFonts w:hint="eastAsia" w:ascii="宋体" w:hAnsi="宋体" w:eastAsia="宋体"/>
                <w:color w:val="000000"/>
                <w:sz w:val="24"/>
              </w:rPr>
              <w:t>厂委托我公司承担该项目的环境影响评价工作（委托书见附件1）。</w:t>
            </w:r>
          </w:p>
          <w:p>
            <w:pPr>
              <w:spacing w:line="240" w:lineRule="auto"/>
              <w:ind w:firstLine="480"/>
              <w:jc w:val="both"/>
              <w:rPr>
                <w:sz w:val="24"/>
              </w:rPr>
            </w:pPr>
            <w:r>
              <w:rPr>
                <w:rFonts w:hint="eastAsia" w:ascii="宋体" w:hAnsi="宋体" w:eastAsia="宋体"/>
                <w:color w:val="000000"/>
                <w:sz w:val="24"/>
              </w:rPr>
              <w:t>根据《建设项目环境影响评价分类管理名录》（2017年9月1日实施）及关于修改《建设项目环境影响评价分类管理名录》部分内容的决定（部令 第1号）规定，</w:t>
            </w:r>
          </w:p>
        </w:tc>
      </w:tr>
    </w:tbl>
    <w:p>
      <w:pPr>
        <w:spacing w:line="1" w:lineRule="exact"/>
        <w:sectPr>
          <w:footerReference r:id="rId9" w:type="default"/>
          <w:type w:val="continuous"/>
          <w:pgSz w:w="11900" w:h="16820"/>
          <w:pgMar w:top="960" w:right="1200" w:bottom="960" w:left="1200" w:header="480" w:footer="480" w:gutter="0"/>
          <w:cols w:space="720" w:num="1"/>
        </w:sectPr>
      </w:pPr>
    </w:p>
    <w:p>
      <w:pPr>
        <w:spacing w:line="432" w:lineRule="auto"/>
        <w:ind w:firstLine="0"/>
        <w:jc w:val="both"/>
        <w:rPr>
          <w:sz w:val="23"/>
        </w:rPr>
      </w:pPr>
      <w:r>
        <w:rPr>
          <w:rFonts w:hint="eastAsia" w:ascii="宋体" w:hAnsi="宋体" w:eastAsia="宋体"/>
          <w:color w:val="000000"/>
          <w:sz w:val="23"/>
        </w:rPr>
        <w:t>本项目属于“十、家具制造业”27项“家具制造”中“其他”类，应编制环境影响报告表。</w:t>
      </w:r>
    </w:p>
    <w:p>
      <w:pPr>
        <w:spacing w:line="432" w:lineRule="auto"/>
        <w:ind w:firstLine="460"/>
        <w:jc w:val="both"/>
        <w:rPr>
          <w:sz w:val="23"/>
        </w:rPr>
      </w:pPr>
      <w:r>
        <w:rPr>
          <w:rFonts w:hint="eastAsia" w:ascii="宋体" w:hAnsi="宋体" w:eastAsia="宋体"/>
          <w:color w:val="000000"/>
          <w:sz w:val="23"/>
        </w:rPr>
        <w:t>接受委托后，我公司立即组织技术人员进行现场踏勘，对工程所在区域自然环境和工程建设情况进行调查了解和实地踏勘，按照环境影响评价的相关技术规范要求，根据现场勘查收集的及建设单位提供的资料，迅速开展了各项工作，本着“科学、公正、客观、实用”的态度，编制完成了本项目的环境影响报告表。</w:t>
      </w:r>
    </w:p>
    <w:p>
      <w:pPr>
        <w:spacing w:line="432" w:lineRule="auto"/>
        <w:ind w:firstLine="0"/>
        <w:jc w:val="both"/>
        <w:rPr>
          <w:sz w:val="23"/>
        </w:rPr>
      </w:pPr>
      <w:r>
        <w:rPr>
          <w:rFonts w:hint="eastAsia" w:ascii="宋体" w:hAnsi="宋体" w:eastAsia="宋体"/>
          <w:color w:val="000000"/>
          <w:sz w:val="23"/>
        </w:rPr>
        <w:t>2、项目地理位置及周边环境</w:t>
      </w:r>
    </w:p>
    <w:p>
      <w:pPr>
        <w:spacing w:line="432" w:lineRule="auto"/>
        <w:ind w:firstLine="460"/>
        <w:jc w:val="both"/>
        <w:rPr>
          <w:sz w:val="23"/>
        </w:rPr>
      </w:pPr>
      <w:r>
        <w:rPr>
          <w:rFonts w:hint="eastAsia" w:ascii="宋体" w:hAnsi="宋体" w:eastAsia="宋体"/>
          <w:color w:val="000000"/>
          <w:sz w:val="23"/>
        </w:rPr>
        <w:t>本项目占地面积约为4330㎡，其中建筑面积约为8975㎡，全部为租赁。根据现场调查，租赁用地范围内已建有空置厂房，本项目不需新建厂房，全部利用已有空置厂房。项目用地南边界、西边界、东边界外均为农田；厂界北侧为闲置仓库，隔闲置仓库为镇东家具城。项目地理位置详见附图1，周边环境情况详见附图2。</w:t>
      </w:r>
    </w:p>
    <w:p>
      <w:pPr>
        <w:spacing w:line="432" w:lineRule="auto"/>
        <w:ind w:firstLine="0"/>
        <w:jc w:val="both"/>
        <w:rPr>
          <w:sz w:val="23"/>
        </w:rPr>
      </w:pPr>
      <w:r>
        <w:rPr>
          <w:rFonts w:hint="eastAsia" w:ascii="宋体" w:hAnsi="宋体" w:eastAsia="宋体"/>
          <w:color w:val="000000"/>
          <w:sz w:val="23"/>
        </w:rPr>
        <w:t>3、项目概况</w:t>
      </w:r>
    </w:p>
    <w:p>
      <w:pPr>
        <w:spacing w:line="432" w:lineRule="auto"/>
        <w:ind w:firstLine="0"/>
        <w:jc w:val="both"/>
        <w:rPr>
          <w:sz w:val="23"/>
        </w:rPr>
      </w:pPr>
      <w:r>
        <w:rPr>
          <w:rFonts w:hint="eastAsia" w:ascii="宋体" w:hAnsi="宋体" w:eastAsia="宋体"/>
          <w:color w:val="000000"/>
          <w:sz w:val="23"/>
        </w:rPr>
        <w:t>3.1基本情况</w:t>
      </w:r>
    </w:p>
    <w:p>
      <w:pPr>
        <w:spacing w:line="432" w:lineRule="auto"/>
        <w:ind w:firstLine="460"/>
        <w:jc w:val="both"/>
        <w:rPr>
          <w:sz w:val="23"/>
        </w:rPr>
      </w:pPr>
      <w:r>
        <w:rPr>
          <w:rFonts w:hint="eastAsia" w:ascii="宋体" w:hAnsi="宋体" w:eastAsia="宋体"/>
          <w:color w:val="000000"/>
          <w:sz w:val="23"/>
        </w:rPr>
        <w:t>滑县白道口博骏家具厂投资20万元在白道口镇白道口村东头路南建设年产200套免漆家具建设项目，该项目占地面积为4330㎡（约6.5亩），总建筑面积为8975㎡，主要设置有原材料库房、半成品库房、生产车间、办公区、成品库房等。项目基本情况见表1。</w:t>
      </w:r>
    </w:p>
    <w:p>
      <w:pPr>
        <w:spacing w:line="432" w:lineRule="auto"/>
        <w:jc w:val="center"/>
        <w:rPr>
          <w:sz w:val="23"/>
        </w:rPr>
      </w:pPr>
      <w:r>
        <w:rPr>
          <w:rFonts w:hint="eastAsia" w:ascii="Calibri" w:hAnsi="Calibri" w:eastAsia="Calibri"/>
          <w:color w:val="000000"/>
          <w:sz w:val="23"/>
        </w:rPr>
        <w:t>表1          项目基本情况一览表</w:t>
      </w:r>
    </w:p>
    <w:tbl>
      <w:tblPr>
        <w:tblStyle w:val="2"/>
        <w:tblW w:w="92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661"/>
        <w:gridCol w:w="2546"/>
        <w:gridCol w:w="599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spacing w:line="264" w:lineRule="auto"/>
              <w:jc w:val="center"/>
              <w:rPr>
                <w:sz w:val="21"/>
              </w:rPr>
            </w:pPr>
            <w:r>
              <w:rPr>
                <w:rFonts w:hint="eastAsia" w:ascii="宋体" w:hAnsi="宋体" w:eastAsia="宋体"/>
                <w:color w:val="000000"/>
                <w:sz w:val="21"/>
              </w:rPr>
              <w:t>项</w:t>
            </w:r>
          </w:p>
          <w:p>
            <w:pPr>
              <w:spacing w:line="264" w:lineRule="auto"/>
              <w:jc w:val="center"/>
              <w:rPr>
                <w:sz w:val="21"/>
              </w:rPr>
            </w:pPr>
            <w:r>
              <w:rPr>
                <w:rFonts w:hint="eastAsia" w:ascii="宋体" w:hAnsi="宋体" w:eastAsia="宋体"/>
                <w:color w:val="000000"/>
                <w:sz w:val="21"/>
              </w:rPr>
              <w:t>目</w:t>
            </w:r>
          </w:p>
          <w:p>
            <w:pPr>
              <w:spacing w:line="264" w:lineRule="auto"/>
              <w:jc w:val="center"/>
              <w:rPr>
                <w:sz w:val="21"/>
              </w:rPr>
            </w:pPr>
            <w:r>
              <w:rPr>
                <w:rFonts w:hint="eastAsia" w:ascii="宋体" w:hAnsi="宋体" w:eastAsia="宋体"/>
                <w:color w:val="000000"/>
                <w:sz w:val="21"/>
              </w:rPr>
              <w:t>基</w:t>
            </w:r>
          </w:p>
          <w:p>
            <w:pPr>
              <w:spacing w:line="264" w:lineRule="auto"/>
              <w:jc w:val="center"/>
              <w:rPr>
                <w:sz w:val="21"/>
              </w:rPr>
            </w:pPr>
            <w:r>
              <w:rPr>
                <w:rFonts w:hint="eastAsia" w:ascii="宋体" w:hAnsi="宋体" w:eastAsia="宋体"/>
                <w:color w:val="000000"/>
                <w:sz w:val="21"/>
              </w:rPr>
              <w:t>本</w:t>
            </w:r>
          </w:p>
          <w:p>
            <w:pPr>
              <w:spacing w:line="264" w:lineRule="auto"/>
              <w:jc w:val="center"/>
              <w:rPr>
                <w:sz w:val="21"/>
              </w:rPr>
            </w:pPr>
            <w:r>
              <w:rPr>
                <w:rFonts w:hint="eastAsia" w:ascii="宋体" w:hAnsi="宋体" w:eastAsia="宋体"/>
                <w:color w:val="000000"/>
                <w:sz w:val="21"/>
              </w:rPr>
              <w:t>内</w:t>
            </w:r>
          </w:p>
          <w:p>
            <w:pPr>
              <w:spacing w:line="264" w:lineRule="auto"/>
              <w:jc w:val="center"/>
              <w:rPr>
                <w:sz w:val="21"/>
              </w:rPr>
            </w:pPr>
            <w:r>
              <w:rPr>
                <w:rFonts w:hint="eastAsia" w:ascii="宋体" w:hAnsi="宋体" w:eastAsia="宋体"/>
                <w:color w:val="000000"/>
                <w:sz w:val="21"/>
              </w:rPr>
              <w:t>容</w:t>
            </w: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项目名称</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年产200套免漆家具建设项目</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建设单位</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滑县白道口博骏家具厂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建设性质</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新建</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环评文件类别</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登记表□报告表 报告书□</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劳动定员</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12人</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工作制度</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单班8小时，年工作日275天</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spacing w:line="264" w:lineRule="auto"/>
              <w:jc w:val="center"/>
              <w:rPr>
                <w:sz w:val="21"/>
              </w:rPr>
            </w:pPr>
            <w:r>
              <w:rPr>
                <w:rFonts w:hint="eastAsia" w:ascii="宋体" w:hAnsi="宋体" w:eastAsia="宋体"/>
                <w:color w:val="000000"/>
                <w:sz w:val="21"/>
              </w:rPr>
              <w:t>产</w:t>
            </w:r>
          </w:p>
          <w:p>
            <w:pPr>
              <w:spacing w:line="264" w:lineRule="auto"/>
              <w:jc w:val="center"/>
              <w:rPr>
                <w:sz w:val="21"/>
              </w:rPr>
            </w:pPr>
            <w:r>
              <w:rPr>
                <w:rFonts w:hint="eastAsia" w:ascii="宋体" w:hAnsi="宋体" w:eastAsia="宋体"/>
                <w:color w:val="000000"/>
                <w:sz w:val="21"/>
              </w:rPr>
              <w:t>业</w:t>
            </w:r>
          </w:p>
          <w:p>
            <w:pPr>
              <w:spacing w:line="264" w:lineRule="auto"/>
              <w:jc w:val="center"/>
              <w:rPr>
                <w:sz w:val="21"/>
              </w:rPr>
            </w:pPr>
            <w:r>
              <w:rPr>
                <w:rFonts w:hint="eastAsia" w:ascii="宋体" w:hAnsi="宋体" w:eastAsia="宋体"/>
                <w:color w:val="000000"/>
                <w:sz w:val="21"/>
              </w:rPr>
              <w:t>特</w:t>
            </w:r>
          </w:p>
          <w:p>
            <w:pPr>
              <w:spacing w:line="264" w:lineRule="auto"/>
              <w:jc w:val="center"/>
              <w:rPr>
                <w:sz w:val="21"/>
              </w:rPr>
            </w:pPr>
            <w:r>
              <w:rPr>
                <w:rFonts w:hint="eastAsia" w:ascii="宋体" w:hAnsi="宋体" w:eastAsia="宋体"/>
                <w:color w:val="000000"/>
                <w:sz w:val="21"/>
              </w:rPr>
              <w:t>征</w:t>
            </w: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投资额（万元）</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20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环保投资（万元）</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5.6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产业类别</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第三产业：家具制造</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行业类别</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C2110木质家具制造</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产业结构调整类别</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其他产业</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5个行业总量控制行业</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不属于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投资主体</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私有企业</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厂</w:t>
            </w: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省辖市名称</w:t>
            </w:r>
          </w:p>
        </w:tc>
        <w:tc>
          <w:tcPr>
            <w:tcW w:w="5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滑县</w:t>
            </w:r>
          </w:p>
        </w:tc>
      </w:tr>
    </w:tbl>
    <w:p>
      <w:pPr>
        <w:spacing w:line="1" w:lineRule="exact"/>
        <w:sectPr>
          <w:footerReference r:id="rId10" w:type="default"/>
          <w:type w:val="continuous"/>
          <w:pgSz w:w="11900" w:h="16820"/>
          <w:pgMar w:top="1200" w:right="1200" w:bottom="1200" w:left="1200" w:header="600" w:footer="600" w:gutter="0"/>
          <w:cols w:space="720" w:num="1"/>
        </w:sectPr>
      </w:pPr>
    </w:p>
    <w:tbl>
      <w:tblPr>
        <w:tblStyle w:val="2"/>
        <w:tblW w:w="92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679"/>
        <w:gridCol w:w="2575"/>
        <w:gridCol w:w="602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址</w:t>
            </w: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宋体" w:hAnsi="宋体" w:eastAsia="宋体"/>
                <w:color w:val="000000"/>
                <w:sz w:val="20"/>
              </w:rPr>
              <w:t>县（市）</w:t>
            </w:r>
          </w:p>
        </w:tc>
        <w:tc>
          <w:tcPr>
            <w:tcW w:w="60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滑县</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40" w:hRule="atLeast"/>
          <w:jc w:val="center"/>
        </w:trPr>
        <w:tc>
          <w:tcPr>
            <w:tcW w:w="680" w:type="dxa"/>
            <w:vMerge w:val="continue"/>
            <w:tcBorders>
              <w:left w:val="single" w:color="000000" w:sz="4" w:space="0"/>
            </w:tcBorders>
          </w:tcP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是否在产业集聚区或专业园区</w:t>
            </w:r>
          </w:p>
        </w:tc>
        <w:tc>
          <w:tcPr>
            <w:tcW w:w="60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否</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80" w:type="dxa"/>
            <w:vMerge w:val="continue"/>
            <w:tcBorders>
              <w:left w:val="single" w:color="000000" w:sz="4" w:space="0"/>
            </w:tcBorders>
          </w:tcP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流域</w:t>
            </w:r>
          </w:p>
        </w:tc>
        <w:tc>
          <w:tcPr>
            <w:tcW w:w="60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属于黄河流域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60" w:hRule="atLeast"/>
          <w:jc w:val="center"/>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排水去向</w:t>
            </w:r>
          </w:p>
        </w:tc>
        <w:tc>
          <w:tcPr>
            <w:tcW w:w="60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本项目废水主要为员工办公生活产生的洗漱废水，经化粪池处理完成后定期由企业清运，用于沤制农家肥。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940" w:hRule="atLeast"/>
          <w:jc w:val="center"/>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本项目污染因子</w:t>
            </w:r>
          </w:p>
        </w:tc>
        <w:tc>
          <w:tcPr>
            <w:tcW w:w="60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宋体" w:hAnsi="宋体" w:eastAsia="宋体"/>
                <w:color w:val="000000"/>
                <w:sz w:val="22"/>
              </w:rPr>
              <w:t>①废气：主要为裁板、雕刻及打孔等工序产生的粉尘。</w:t>
            </w:r>
          </w:p>
          <w:p>
            <w:pPr>
              <w:spacing w:line="240" w:lineRule="auto"/>
              <w:ind w:firstLine="0"/>
              <w:jc w:val="both"/>
              <w:rPr>
                <w:sz w:val="22"/>
              </w:rPr>
            </w:pPr>
            <w:r>
              <w:rPr>
                <w:rFonts w:hint="eastAsia" w:ascii="宋体" w:hAnsi="宋体" w:eastAsia="宋体"/>
                <w:color w:val="000000"/>
                <w:sz w:val="22"/>
              </w:rPr>
              <w:t>②废水：主要为员工办公生活产生的洗漱废水。</w:t>
            </w:r>
          </w:p>
          <w:p>
            <w:pPr>
              <w:spacing w:line="240" w:lineRule="auto"/>
              <w:ind w:firstLine="0"/>
              <w:jc w:val="both"/>
              <w:rPr>
                <w:sz w:val="22"/>
              </w:rPr>
            </w:pPr>
            <w:r>
              <w:rPr>
                <w:rFonts w:hint="eastAsia" w:ascii="宋体" w:hAnsi="宋体" w:eastAsia="宋体"/>
                <w:color w:val="000000"/>
                <w:sz w:val="22"/>
              </w:rPr>
              <w:t>③噪声：主要为裁板、雕刻及排孔设备运行过程中产生的机械噪声。</w:t>
            </w:r>
          </w:p>
          <w:p>
            <w:pPr>
              <w:spacing w:line="240" w:lineRule="auto"/>
              <w:ind w:firstLine="0"/>
              <w:jc w:val="both"/>
              <w:rPr>
                <w:sz w:val="22"/>
              </w:rPr>
            </w:pPr>
            <w:r>
              <w:rPr>
                <w:rFonts w:hint="eastAsia" w:ascii="宋体" w:hAnsi="宋体" w:eastAsia="宋体"/>
                <w:color w:val="000000"/>
                <w:sz w:val="22"/>
              </w:rPr>
              <w:t>④固废：主要为员工办公生活产生的生活垃圾及废边角料、布袋除尘器收集的粉尘。</w:t>
            </w:r>
          </w:p>
        </w:tc>
      </w:tr>
    </w:tbl>
    <w:p>
      <w:pPr>
        <w:spacing w:line="240" w:lineRule="auto"/>
        <w:ind w:firstLine="0"/>
        <w:jc w:val="both"/>
        <w:rPr>
          <w:sz w:val="22"/>
        </w:rPr>
      </w:pPr>
    </w:p>
    <w:p>
      <w:pPr>
        <w:spacing w:line="216" w:lineRule="auto"/>
        <w:ind w:firstLine="0"/>
        <w:jc w:val="both"/>
        <w:rPr>
          <w:sz w:val="24"/>
        </w:rPr>
      </w:pPr>
      <w:r>
        <w:rPr>
          <w:rFonts w:hint="eastAsia" w:ascii="宋体" w:hAnsi="宋体" w:eastAsia="宋体"/>
          <w:color w:val="000000"/>
          <w:sz w:val="24"/>
        </w:rPr>
        <w:t>3.2主要建设内容</w:t>
      </w:r>
    </w:p>
    <w:p>
      <w:pPr>
        <w:spacing w:line="240" w:lineRule="auto"/>
        <w:ind w:firstLine="440"/>
        <w:jc w:val="both"/>
        <w:rPr>
          <w:sz w:val="22"/>
        </w:rPr>
      </w:pPr>
      <w:r>
        <w:rPr>
          <w:rFonts w:hint="eastAsia" w:ascii="宋体" w:hAnsi="宋体" w:eastAsia="宋体"/>
          <w:color w:val="000000"/>
          <w:sz w:val="22"/>
        </w:rPr>
        <w:t>本项目全部利用现有空置厂房进行生产，主要厂房包括原材料库房、半成品库房、生产车间、办公区、成品库房等组成，总建筑面积约为8975㎡。各生产车间主要建设详情见表2，主要生产设备见表3。</w:t>
      </w:r>
    </w:p>
    <w:p>
      <w:pPr>
        <w:spacing w:line="240" w:lineRule="auto"/>
        <w:jc w:val="center"/>
        <w:rPr>
          <w:sz w:val="22"/>
        </w:rPr>
      </w:pPr>
      <w:r>
        <w:rPr>
          <w:rFonts w:hint="eastAsia" w:ascii="Calibri" w:hAnsi="Calibri" w:eastAsia="Calibri"/>
          <w:color w:val="000000"/>
          <w:sz w:val="22"/>
        </w:rPr>
        <w:t>表2                  主要建设内容一览表</w:t>
      </w:r>
    </w:p>
    <w:tbl>
      <w:tblPr>
        <w:tblStyle w:val="2"/>
        <w:tblW w:w="91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369"/>
        <w:gridCol w:w="775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厂房</w:t>
            </w:r>
          </w:p>
        </w:tc>
        <w:tc>
          <w:tcPr>
            <w:tcW w:w="77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宋体" w:hAnsi="宋体" w:eastAsia="宋体"/>
                <w:color w:val="000000"/>
                <w:sz w:val="22"/>
              </w:rPr>
              <w:t>主要建设内容</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生车间</w:t>
            </w:r>
          </w:p>
        </w:tc>
        <w:tc>
          <w:tcPr>
            <w:tcW w:w="77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宋体" w:hAnsi="宋体" w:eastAsia="宋体"/>
                <w:color w:val="000000"/>
                <w:sz w:val="22"/>
              </w:rPr>
              <w:t>1层砖混结构，尺寸为40m＊30m＊3m，内部主要布置下料区、木工区</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原材料库房</w:t>
            </w:r>
          </w:p>
        </w:tc>
        <w:tc>
          <w:tcPr>
            <w:tcW w:w="77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宋体" w:hAnsi="宋体" w:eastAsia="宋体"/>
                <w:color w:val="000000"/>
                <w:sz w:val="22"/>
              </w:rPr>
              <w:t>1层砖混结构，尺寸为90m＊10m＊3m，用于储存生产中所需的原材料</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成品库房</w:t>
            </w:r>
          </w:p>
        </w:tc>
        <w:tc>
          <w:tcPr>
            <w:tcW w:w="77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宋体" w:hAnsi="宋体" w:eastAsia="宋体"/>
                <w:color w:val="000000"/>
                <w:sz w:val="22"/>
              </w:rPr>
              <w:t>1层砖混结构，尺寸为25m＊2</w:t>
            </w:r>
            <w:r>
              <w:drawing>
                <wp:inline distT="0" distB="0" distL="0" distR="0">
                  <wp:extent cx="825500" cy="1524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67" cstate="print"/>
                          <a:stretch>
                            <a:fillRect/>
                          </a:stretch>
                        </pic:blipFill>
                        <pic:spPr>
                          <a:xfrm>
                            <a:off x="1000" y="1000"/>
                            <a:ext cx="825500" cy="152400"/>
                          </a:xfrm>
                          <a:prstGeom prst="rect">
                            <a:avLst/>
                          </a:prstGeom>
                        </pic:spPr>
                      </pic:pic>
                    </a:graphicData>
                  </a:graphic>
                </wp:inline>
              </w:drawing>
            </w:r>
            <w:r>
              <w:rPr>
                <w:rFonts w:hint="eastAsia" w:ascii="宋体" w:hAnsi="宋体" w:eastAsia="宋体"/>
                <w:color w:val="000000"/>
                <w:sz w:val="22"/>
              </w:rPr>
              <w:t>m，用于储存产品</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半成品库房</w:t>
            </w:r>
          </w:p>
        </w:tc>
        <w:tc>
          <w:tcPr>
            <w:tcW w:w="77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宋体" w:hAnsi="宋体" w:eastAsia="宋体"/>
                <w:color w:val="000000"/>
                <w:sz w:val="22"/>
              </w:rPr>
              <w:t>1层砖混结构，尺寸为25m＊15 m＊3m，用于储存半成品</w:t>
            </w:r>
            <w:r>
              <w:drawing>
                <wp:inline distT="0" distB="0" distL="0" distR="0">
                  <wp:extent cx="838200" cy="1651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68" cstate="print"/>
                          <a:stretch>
                            <a:fillRect/>
                          </a:stretch>
                        </pic:blipFill>
                        <pic:spPr>
                          <a:xfrm>
                            <a:off x="1000" y="1000"/>
                            <a:ext cx="838200" cy="165100"/>
                          </a:xfrm>
                          <a:prstGeom prst="rect">
                            <a:avLst/>
                          </a:prstGeom>
                        </pic:spPr>
                      </pic:pic>
                    </a:graphicData>
                  </a:graphic>
                </wp:inline>
              </w:drawing>
            </w:r>
          </w:p>
        </w:tc>
      </w:tr>
    </w:tbl>
    <w:p>
      <w:pPr>
        <w:spacing w:line="240" w:lineRule="auto"/>
        <w:jc w:val="center"/>
        <w:rPr>
          <w:sz w:val="22"/>
        </w:rPr>
      </w:pPr>
      <w:r>
        <w:rPr>
          <w:rFonts w:hint="eastAsia" w:ascii="Calibri" w:hAnsi="Calibri" w:eastAsia="Calibri"/>
          <w:color w:val="000000"/>
          <w:sz w:val="22"/>
        </w:rPr>
        <w:t>表3                      生产设备一览表</w:t>
      </w:r>
    </w:p>
    <w:tbl>
      <w:tblPr>
        <w:tblStyle w:val="2"/>
        <w:tblW w:w="90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604"/>
        <w:gridCol w:w="4670"/>
        <w:gridCol w:w="274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序号</w:t>
            </w:r>
          </w:p>
        </w:tc>
        <w:tc>
          <w:tcPr>
            <w:tcW w:w="4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设备名称</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数量</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w:t>
            </w:r>
          </w:p>
        </w:tc>
        <w:tc>
          <w:tcPr>
            <w:tcW w:w="4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精密锯</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1台</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2</w:t>
            </w:r>
          </w:p>
        </w:tc>
        <w:tc>
          <w:tcPr>
            <w:tcW w:w="4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裁板机</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1台</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3</w:t>
            </w:r>
          </w:p>
        </w:tc>
        <w:tc>
          <w:tcPr>
            <w:tcW w:w="4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雕刻机</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1台</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4</w:t>
            </w:r>
          </w:p>
        </w:tc>
        <w:tc>
          <w:tcPr>
            <w:tcW w:w="4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打孔机</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1台</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5</w:t>
            </w:r>
          </w:p>
        </w:tc>
        <w:tc>
          <w:tcPr>
            <w:tcW w:w="4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冷压机</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1台</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6</w:t>
            </w:r>
          </w:p>
        </w:tc>
        <w:tc>
          <w:tcPr>
            <w:tcW w:w="4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开料机</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1台</w:t>
            </w:r>
          </w:p>
        </w:tc>
      </w:tr>
    </w:tbl>
    <w:p>
      <w:pPr>
        <w:spacing w:line="240" w:lineRule="auto"/>
        <w:ind w:firstLine="0"/>
        <w:jc w:val="both"/>
        <w:rPr>
          <w:sz w:val="22"/>
        </w:rPr>
      </w:pPr>
      <w:r>
        <w:rPr>
          <w:rFonts w:hint="eastAsia" w:ascii="宋体" w:hAnsi="宋体" w:eastAsia="宋体"/>
          <w:color w:val="000000"/>
          <w:sz w:val="22"/>
        </w:rPr>
        <w:t>4.2 原辅材料消耗</w:t>
      </w:r>
    </w:p>
    <w:p>
      <w:pPr>
        <w:spacing w:line="240" w:lineRule="auto"/>
        <w:ind w:firstLine="0"/>
        <w:jc w:val="both"/>
        <w:rPr>
          <w:sz w:val="22"/>
        </w:rPr>
      </w:pPr>
    </w:p>
    <w:p>
      <w:pPr>
        <w:spacing w:line="240" w:lineRule="auto"/>
        <w:ind w:firstLine="440"/>
        <w:jc w:val="both"/>
        <w:rPr>
          <w:sz w:val="22"/>
        </w:rPr>
      </w:pPr>
      <w:r>
        <w:rPr>
          <w:rFonts w:hint="eastAsia" w:ascii="宋体" w:hAnsi="宋体" w:eastAsia="宋体"/>
          <w:color w:val="000000"/>
          <w:sz w:val="22"/>
        </w:rPr>
        <w:t>本项目主要原辅材料消耗情况详见表4。</w:t>
      </w:r>
    </w:p>
    <w:p>
      <w:pPr>
        <w:spacing w:line="240" w:lineRule="auto"/>
        <w:ind w:firstLine="0"/>
        <w:jc w:val="both"/>
        <w:rPr>
          <w:sz w:val="22"/>
        </w:rPr>
      </w:pPr>
    </w:p>
    <w:p>
      <w:pPr>
        <w:spacing w:line="240" w:lineRule="auto"/>
        <w:jc w:val="center"/>
        <w:rPr>
          <w:sz w:val="22"/>
        </w:rPr>
      </w:pPr>
      <w:r>
        <w:rPr>
          <w:rFonts w:hint="eastAsia" w:ascii="Calibri" w:hAnsi="Calibri" w:eastAsia="Calibri"/>
          <w:color w:val="000000"/>
          <w:sz w:val="22"/>
        </w:rPr>
        <w:t>表4                   原、辅材料消耗一览表</w:t>
      </w:r>
    </w:p>
    <w:tbl>
      <w:tblPr>
        <w:tblStyle w:val="2"/>
        <w:tblW w:w="92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00"/>
        <w:gridCol w:w="1647"/>
        <w:gridCol w:w="1366"/>
        <w:gridCol w:w="2149"/>
        <w:gridCol w:w="2169"/>
        <w:gridCol w:w="176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00" w:type="dxa"/>
            <w:vMerge w:val="restart"/>
            <w:tcBorders>
              <w:top w:val="single" w:color="000000" w:sz="4" w:space="0"/>
              <w:left w:val="single" w:color="000000" w:sz="4" w:space="0"/>
              <w:bottom w:val="single" w:color="000000" w:sz="4" w:space="0"/>
              <w:right w:val="single" w:color="000000" w:sz="4" w:space="0"/>
            </w:tcBorders>
            <w:vAlign w:val="center"/>
          </w:tcP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序号</w:t>
            </w:r>
          </w:p>
        </w:tc>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原料</w:t>
            </w:r>
          </w:p>
        </w:tc>
        <w:tc>
          <w:tcPr>
            <w:tcW w:w="2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用量</w:t>
            </w:r>
          </w:p>
        </w:tc>
        <w:tc>
          <w:tcPr>
            <w:tcW w:w="2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规格</w:t>
            </w: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来源</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00" w:type="dxa"/>
            <w:vMerge w:val="continue"/>
            <w:tcBorders>
              <w:left w:val="single" w:color="000000" w:sz="4" w:space="0"/>
            </w:tcBorders>
          </w:tcP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w:t>
            </w:r>
          </w:p>
        </w:tc>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免漆板</w:t>
            </w:r>
          </w:p>
        </w:tc>
        <w:tc>
          <w:tcPr>
            <w:tcW w:w="2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7"/>
              </w:rPr>
            </w:pPr>
            <w:r>
              <w:rPr>
                <w:rFonts w:hint="eastAsia" w:ascii="Calibri" w:hAnsi="Calibri" w:eastAsia="Calibri"/>
                <w:color w:val="000000"/>
                <w:sz w:val="17"/>
              </w:rPr>
              <w:t>3000张／a（75t／a）</w:t>
            </w:r>
          </w:p>
        </w:tc>
        <w:tc>
          <w:tcPr>
            <w:tcW w:w="2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1200*2400*15mm</w:t>
            </w: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外购</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00" w:type="dxa"/>
            <w:vMerge w:val="continue"/>
            <w:tcBorders>
              <w:left w:val="single" w:color="000000" w:sz="4" w:space="0"/>
            </w:tcBorders>
          </w:tcP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2</w:t>
            </w:r>
          </w:p>
        </w:tc>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松木板</w:t>
            </w:r>
          </w:p>
        </w:tc>
        <w:tc>
          <w:tcPr>
            <w:tcW w:w="2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2t/a</w:t>
            </w:r>
          </w:p>
        </w:tc>
        <w:tc>
          <w:tcPr>
            <w:tcW w:w="2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150*4000*250mm</w:t>
            </w: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外购</w:t>
            </w:r>
          </w:p>
        </w:tc>
      </w:tr>
    </w:tbl>
    <w:p>
      <w:pPr>
        <w:spacing w:line="1" w:lineRule="exact"/>
        <w:sectPr>
          <w:footerReference r:id="rId11" w:type="default"/>
          <w:type w:val="continuous"/>
          <w:pgSz w:w="11900" w:h="16820"/>
          <w:pgMar w:top="960" w:right="1200" w:bottom="1200" w:left="1200" w:header="480" w:footer="600" w:gutter="0"/>
          <w:cols w:space="720" w:num="1"/>
        </w:sectPr>
      </w:pPr>
    </w:p>
    <w:tbl>
      <w:tblPr>
        <w:tblStyle w:val="2"/>
        <w:tblW w:w="926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685"/>
        <w:gridCol w:w="1361"/>
        <w:gridCol w:w="2173"/>
        <w:gridCol w:w="2234"/>
        <w:gridCol w:w="180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3</w:t>
            </w:r>
          </w:p>
        </w:tc>
        <w:tc>
          <w:tcPr>
            <w:tcW w:w="13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封边扣板</w:t>
            </w:r>
          </w:p>
        </w:tc>
        <w:tc>
          <w:tcPr>
            <w:tcW w:w="2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500卷／a</w:t>
            </w:r>
          </w:p>
        </w:tc>
        <w:tc>
          <w:tcPr>
            <w:tcW w:w="2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w:t>
            </w:r>
          </w:p>
        </w:tc>
        <w:tc>
          <w:tcPr>
            <w:tcW w:w="17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外购</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4</w:t>
            </w:r>
          </w:p>
        </w:tc>
        <w:tc>
          <w:tcPr>
            <w:tcW w:w="13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五金配件</w:t>
            </w:r>
          </w:p>
        </w:tc>
        <w:tc>
          <w:tcPr>
            <w:tcW w:w="2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0.2t/a</w:t>
            </w:r>
          </w:p>
        </w:tc>
        <w:tc>
          <w:tcPr>
            <w:tcW w:w="2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w:t>
            </w:r>
          </w:p>
        </w:tc>
        <w:tc>
          <w:tcPr>
            <w:tcW w:w="17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外购</w:t>
            </w:r>
          </w:p>
        </w:tc>
      </w:tr>
    </w:tbl>
    <w:p>
      <w:pPr>
        <w:spacing w:line="384" w:lineRule="auto"/>
        <w:ind w:firstLine="0"/>
        <w:jc w:val="both"/>
        <w:rPr>
          <w:sz w:val="25"/>
        </w:rPr>
      </w:pPr>
      <w:r>
        <w:rPr>
          <w:rFonts w:hint="eastAsia" w:ascii="宋体" w:hAnsi="宋体" w:eastAsia="宋体"/>
          <w:color w:val="000000"/>
          <w:sz w:val="25"/>
        </w:rPr>
        <w:t>4.3产品方案</w:t>
      </w:r>
    </w:p>
    <w:p>
      <w:pPr>
        <w:spacing w:line="384" w:lineRule="auto"/>
        <w:ind w:firstLine="500"/>
        <w:jc w:val="both"/>
        <w:rPr>
          <w:sz w:val="25"/>
        </w:rPr>
      </w:pPr>
      <w:r>
        <w:rPr>
          <w:rFonts w:hint="eastAsia" w:ascii="宋体" w:hAnsi="宋体" w:eastAsia="宋体"/>
          <w:color w:val="000000"/>
          <w:sz w:val="25"/>
        </w:rPr>
        <w:t>本项目产品方案见表5。</w:t>
      </w:r>
    </w:p>
    <w:p>
      <w:pPr>
        <w:spacing w:line="384" w:lineRule="auto"/>
        <w:ind w:firstLine="500"/>
        <w:jc w:val="both"/>
        <w:rPr>
          <w:sz w:val="25"/>
        </w:rPr>
      </w:pPr>
      <w:r>
        <w:rPr>
          <w:rFonts w:hint="eastAsia" w:ascii="Calibri" w:hAnsi="Calibri" w:eastAsia="Calibri"/>
          <w:color w:val="000000"/>
          <w:sz w:val="25"/>
        </w:rPr>
        <w:t>表5                    产品方案一览表</w:t>
      </w:r>
    </w:p>
    <w:tbl>
      <w:tblPr>
        <w:tblStyle w:val="2"/>
        <w:tblW w:w="92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597"/>
        <w:gridCol w:w="3572"/>
        <w:gridCol w:w="403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序号</w:t>
            </w:r>
          </w:p>
        </w:tc>
        <w:tc>
          <w:tcPr>
            <w:tcW w:w="3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产品名称</w:t>
            </w:r>
          </w:p>
        </w:tc>
        <w:tc>
          <w:tcPr>
            <w:tcW w:w="40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产量</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1</w:t>
            </w:r>
          </w:p>
        </w:tc>
        <w:tc>
          <w:tcPr>
            <w:tcW w:w="3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衣柜</w:t>
            </w:r>
          </w:p>
        </w:tc>
        <w:tc>
          <w:tcPr>
            <w:tcW w:w="40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200套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2</w:t>
            </w:r>
          </w:p>
        </w:tc>
        <w:tc>
          <w:tcPr>
            <w:tcW w:w="3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低柜</w:t>
            </w:r>
          </w:p>
        </w:tc>
        <w:tc>
          <w:tcPr>
            <w:tcW w:w="40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3</w:t>
            </w:r>
          </w:p>
        </w:tc>
        <w:tc>
          <w:tcPr>
            <w:tcW w:w="3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梳妆台</w:t>
            </w:r>
          </w:p>
        </w:tc>
        <w:tc>
          <w:tcPr>
            <w:tcW w:w="40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6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4</w:t>
            </w:r>
          </w:p>
        </w:tc>
        <w:tc>
          <w:tcPr>
            <w:tcW w:w="3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大床</w:t>
            </w:r>
          </w:p>
        </w:tc>
        <w:tc>
          <w:tcPr>
            <w:tcW w:w="4040" w:type="dxa"/>
            <w:vMerge w:val="continue"/>
            <w:tcBorders>
              <w:left w:val="single" w:color="000000" w:sz="4" w:space="0"/>
            </w:tcBorders>
          </w:tcPr>
          <w:p/>
        </w:tc>
      </w:tr>
    </w:tbl>
    <w:p>
      <w:pPr>
        <w:spacing w:line="384" w:lineRule="auto"/>
        <w:ind w:firstLine="0"/>
        <w:jc w:val="both"/>
        <w:rPr>
          <w:sz w:val="25"/>
        </w:rPr>
      </w:pPr>
      <w:r>
        <w:rPr>
          <w:rFonts w:hint="eastAsia" w:ascii="宋体" w:hAnsi="宋体" w:eastAsia="宋体"/>
          <w:color w:val="000000"/>
          <w:sz w:val="25"/>
        </w:rPr>
        <w:t>4.4 公用工程</w:t>
      </w:r>
    </w:p>
    <w:p>
      <w:pPr>
        <w:spacing w:line="384" w:lineRule="auto"/>
        <w:ind w:firstLine="500"/>
        <w:jc w:val="both"/>
        <w:rPr>
          <w:sz w:val="25"/>
        </w:rPr>
      </w:pPr>
      <w:r>
        <w:rPr>
          <w:rFonts w:hint="eastAsia" w:ascii="宋体" w:hAnsi="宋体" w:eastAsia="宋体"/>
          <w:color w:val="000000"/>
          <w:sz w:val="25"/>
        </w:rPr>
        <w:t>①供水</w:t>
      </w:r>
    </w:p>
    <w:p>
      <w:pPr>
        <w:spacing w:line="384" w:lineRule="auto"/>
        <w:ind w:firstLine="500"/>
        <w:jc w:val="both"/>
        <w:rPr>
          <w:sz w:val="25"/>
        </w:rPr>
      </w:pPr>
      <w:r>
        <w:rPr>
          <w:rFonts w:hint="eastAsia" w:ascii="宋体" w:hAnsi="宋体" w:eastAsia="宋体"/>
          <w:color w:val="000000"/>
          <w:sz w:val="25"/>
        </w:rPr>
        <w:t>本项目用水主要为员工生活用水。项目员工均来自当地，不在厂区内食宿，厂区设置化粪池1座（5m3），因此员工生活用水主要为洗漱用水，用水量按30L／人·d 计，则用水量为0.36m3／d，水源来自白道口镇自来水厂。</w:t>
      </w:r>
    </w:p>
    <w:p>
      <w:pPr>
        <w:spacing w:line="384" w:lineRule="auto"/>
        <w:ind w:firstLine="500"/>
        <w:jc w:val="both"/>
        <w:rPr>
          <w:sz w:val="25"/>
        </w:rPr>
      </w:pPr>
      <w:r>
        <w:rPr>
          <w:rFonts w:hint="eastAsia" w:ascii="宋体" w:hAnsi="宋体" w:eastAsia="宋体"/>
          <w:color w:val="000000"/>
          <w:sz w:val="25"/>
        </w:rPr>
        <w:t>②排水</w:t>
      </w:r>
    </w:p>
    <w:p>
      <w:pPr>
        <w:spacing w:line="384" w:lineRule="auto"/>
        <w:ind w:firstLine="500"/>
        <w:jc w:val="both"/>
        <w:rPr>
          <w:sz w:val="25"/>
        </w:rPr>
      </w:pPr>
      <w:r>
        <w:rPr>
          <w:rFonts w:hint="eastAsia" w:ascii="宋体" w:hAnsi="宋体" w:eastAsia="宋体"/>
          <w:color w:val="000000"/>
          <w:sz w:val="25"/>
        </w:rPr>
        <w:t>该项目排水主要为职工洗漱废水，生产过程无废水产生，排放系数按0.8计，则生活污水排放量约为0.288m3／d。经化粪池进行处理后，由企业定期清运，用于沤制农家肥。</w:t>
      </w:r>
    </w:p>
    <w:p>
      <w:pPr>
        <w:spacing w:line="384" w:lineRule="auto"/>
        <w:ind w:firstLine="500"/>
        <w:jc w:val="both"/>
        <w:rPr>
          <w:sz w:val="25"/>
        </w:rPr>
      </w:pPr>
      <w:r>
        <w:rPr>
          <w:rFonts w:hint="eastAsia" w:ascii="宋体" w:hAnsi="宋体" w:eastAsia="宋体"/>
          <w:color w:val="000000"/>
          <w:sz w:val="25"/>
        </w:rPr>
        <w:t>③供电</w:t>
      </w:r>
    </w:p>
    <w:p>
      <w:pPr>
        <w:spacing w:line="384" w:lineRule="auto"/>
        <w:ind w:firstLine="500"/>
        <w:jc w:val="both"/>
        <w:rPr>
          <w:sz w:val="25"/>
        </w:rPr>
      </w:pPr>
      <w:r>
        <w:rPr>
          <w:rFonts w:hint="eastAsia" w:ascii="宋体" w:hAnsi="宋体" w:eastAsia="宋体"/>
          <w:color w:val="000000"/>
          <w:sz w:val="25"/>
        </w:rPr>
        <w:t>本项目用电量约为3万度／a，来自白道口镇供电系统。</w:t>
      </w:r>
    </w:p>
    <w:p>
      <w:pPr>
        <w:spacing w:line="384" w:lineRule="auto"/>
        <w:ind w:firstLine="500"/>
        <w:jc w:val="both"/>
        <w:rPr>
          <w:sz w:val="25"/>
        </w:rPr>
      </w:pPr>
      <w:r>
        <w:rPr>
          <w:rFonts w:hint="eastAsia" w:ascii="宋体" w:hAnsi="宋体" w:eastAsia="宋体"/>
          <w:color w:val="000000"/>
          <w:sz w:val="25"/>
        </w:rPr>
        <w:t>④劳动定员</w:t>
      </w:r>
    </w:p>
    <w:p>
      <w:pPr>
        <w:spacing w:line="384" w:lineRule="auto"/>
        <w:ind w:firstLine="500"/>
        <w:jc w:val="both"/>
        <w:rPr>
          <w:sz w:val="25"/>
        </w:rPr>
      </w:pPr>
      <w:r>
        <w:rPr>
          <w:rFonts w:hint="eastAsia" w:ascii="宋体" w:hAnsi="宋体" w:eastAsia="宋体"/>
          <w:color w:val="000000"/>
          <w:sz w:val="25"/>
        </w:rPr>
        <w:t>本项目劳动定员12人，全部为本地职工，年工作时间为275d。工作制度为每天1班制，每班工作8小时。</w:t>
      </w:r>
    </w:p>
    <w:p>
      <w:pPr>
        <w:spacing w:line="384" w:lineRule="auto"/>
        <w:ind w:firstLine="0"/>
        <w:jc w:val="both"/>
        <w:rPr>
          <w:sz w:val="25"/>
        </w:rPr>
      </w:pPr>
      <w:r>
        <w:rPr>
          <w:rFonts w:hint="eastAsia" w:ascii="宋体" w:hAnsi="宋体" w:eastAsia="宋体"/>
          <w:color w:val="000000"/>
          <w:sz w:val="25"/>
        </w:rPr>
        <w:t>与本项目有关的原有污染情况及主要环境问题：</w:t>
      </w:r>
    </w:p>
    <w:p>
      <w:pPr>
        <w:spacing w:line="384" w:lineRule="auto"/>
        <w:ind w:firstLine="500"/>
        <w:jc w:val="both"/>
        <w:rPr>
          <w:sz w:val="25"/>
        </w:rPr>
        <w:sectPr>
          <w:footerReference r:id="rId12" w:type="default"/>
          <w:type w:val="continuous"/>
          <w:pgSz w:w="11900" w:h="16820"/>
          <w:pgMar w:top="960" w:right="1200" w:bottom="2400" w:left="1200" w:header="480" w:footer="1200" w:gutter="0"/>
          <w:cols w:space="720" w:num="1"/>
        </w:sectPr>
      </w:pPr>
      <w:r>
        <w:rPr>
          <w:rFonts w:hint="eastAsia" w:ascii="宋体" w:hAnsi="宋体" w:eastAsia="宋体"/>
          <w:color w:val="000000"/>
          <w:sz w:val="25"/>
        </w:rPr>
        <w:t>本项目为新建项目，利用原有厂房建设。根据现场勘查，原有厂房全部闲置，厂房内无任何生产设备（见附图5），不存在原有污染问题。</w:t>
      </w:r>
    </w:p>
    <w:tbl>
      <w:tblPr>
        <w:tblStyle w:val="2"/>
        <w:tblW w:w="95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58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3360" w:hRule="atLeast"/>
          <w:jc w:val="center"/>
        </w:trPr>
        <w:tc>
          <w:tcPr>
            <w:tcW w:w="92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30"/>
              </w:rPr>
            </w:pPr>
            <w:r>
              <w:rPr>
                <w:rFonts w:hint="eastAsia" w:ascii="宋体" w:hAnsi="宋体" w:eastAsia="宋体"/>
                <w:color w:val="000000"/>
                <w:sz w:val="30"/>
              </w:rPr>
              <w:t>自然环境简况（地形、地貌、气候、水文、植被、生物多样性等）：</w:t>
            </w:r>
          </w:p>
          <w:p>
            <w:pPr>
              <w:spacing w:line="240" w:lineRule="auto"/>
              <w:ind w:firstLine="0"/>
              <w:jc w:val="both"/>
              <w:rPr>
                <w:sz w:val="23"/>
              </w:rPr>
            </w:pPr>
            <w:r>
              <w:rPr>
                <w:rFonts w:hint="eastAsia" w:ascii="宋体" w:hAnsi="宋体" w:eastAsia="宋体"/>
                <w:color w:val="000000"/>
                <w:sz w:val="23"/>
              </w:rPr>
              <w:t>1、地理位置</w:t>
            </w:r>
          </w:p>
          <w:p>
            <w:pPr>
              <w:spacing w:line="240" w:lineRule="auto"/>
              <w:ind w:firstLine="460"/>
              <w:jc w:val="both"/>
              <w:rPr>
                <w:sz w:val="23"/>
              </w:rPr>
            </w:pPr>
            <w:r>
              <w:rPr>
                <w:rFonts w:hint="eastAsia" w:ascii="宋体" w:hAnsi="宋体" w:eastAsia="宋体"/>
                <w:color w:val="000000"/>
                <w:sz w:val="23"/>
              </w:rPr>
              <w:t>滑县位于河南省东北部，在东经114°23＇～59＇，北纬35°12＇～47＇之间，东西长51.1km，南北宽39.5km，为古黄河冲积平原，与濮阳、延津、浚县、长垣、封丘、内黄接壤。县城道口镇南距郑州市153km，北距安阳市70km，东北距濮阳市53km，西南距新乡市70km，西北距鹤壁市新区25km。</w:t>
            </w:r>
          </w:p>
          <w:p>
            <w:pPr>
              <w:spacing w:line="240" w:lineRule="auto"/>
              <w:ind w:firstLine="460"/>
              <w:jc w:val="both"/>
              <w:rPr>
                <w:sz w:val="23"/>
              </w:rPr>
            </w:pPr>
            <w:r>
              <w:rPr>
                <w:rFonts w:hint="eastAsia" w:ascii="宋体" w:hAnsi="宋体" w:eastAsia="宋体"/>
                <w:color w:val="000000"/>
                <w:sz w:val="23"/>
              </w:rPr>
              <w:t>本项目位于白道口镇白道口村东头路南，项目地理位置图见附图1。</w:t>
            </w:r>
          </w:p>
          <w:p>
            <w:pPr>
              <w:spacing w:line="240" w:lineRule="auto"/>
              <w:ind w:firstLine="0"/>
              <w:jc w:val="both"/>
              <w:rPr>
                <w:sz w:val="23"/>
              </w:rPr>
            </w:pPr>
            <w:r>
              <w:rPr>
                <w:rFonts w:hint="eastAsia" w:ascii="宋体" w:hAnsi="宋体" w:eastAsia="宋体"/>
                <w:color w:val="000000"/>
                <w:sz w:val="23"/>
              </w:rPr>
              <w:t>2、地形地貌</w:t>
            </w:r>
          </w:p>
          <w:p>
            <w:pPr>
              <w:spacing w:line="240" w:lineRule="auto"/>
              <w:ind w:firstLine="460"/>
              <w:jc w:val="both"/>
              <w:rPr>
                <w:sz w:val="23"/>
              </w:rPr>
            </w:pPr>
            <w:r>
              <w:rPr>
                <w:rFonts w:hint="eastAsia" w:ascii="宋体" w:hAnsi="宋体" w:eastAsia="宋体"/>
                <w:color w:val="000000"/>
                <w:sz w:val="23"/>
              </w:rPr>
              <w:t>滑县处于黄河冲积平原的西部边缘，地势比较平坦，起伏较小，总体呈西南高、东北低之势，海拔在50-65m之间，东西地面比降1／7000，南北地面比降1／5000。由于地处黄河故道，历史上受黄河多次泛滥的影响形成了“九堤、四坡、十八洼”的地形特点。</w:t>
            </w:r>
          </w:p>
          <w:p>
            <w:pPr>
              <w:spacing w:line="240" w:lineRule="auto"/>
              <w:ind w:firstLine="460"/>
              <w:jc w:val="both"/>
              <w:rPr>
                <w:sz w:val="23"/>
              </w:rPr>
            </w:pPr>
            <w:r>
              <w:rPr>
                <w:rFonts w:hint="eastAsia" w:ascii="宋体" w:hAnsi="宋体" w:eastAsia="宋体"/>
                <w:color w:val="000000"/>
                <w:sz w:val="23"/>
              </w:rPr>
              <w:t>滑县土壤结构分为粘土和风沙土两种，东粘西沙，面积95％为黄河流域，5％为海河流域，应用地下水占总面积的98％。</w:t>
            </w:r>
          </w:p>
          <w:p>
            <w:pPr>
              <w:spacing w:line="240" w:lineRule="auto"/>
              <w:ind w:firstLine="0"/>
              <w:jc w:val="both"/>
              <w:rPr>
                <w:sz w:val="23"/>
              </w:rPr>
            </w:pPr>
            <w:r>
              <w:rPr>
                <w:rFonts w:hint="eastAsia" w:ascii="宋体" w:hAnsi="宋体" w:eastAsia="宋体"/>
                <w:color w:val="000000"/>
                <w:sz w:val="23"/>
              </w:rPr>
              <w:t>3、气候气象</w:t>
            </w:r>
          </w:p>
          <w:p>
            <w:pPr>
              <w:spacing w:line="240" w:lineRule="auto"/>
              <w:ind w:firstLine="460"/>
              <w:jc w:val="both"/>
              <w:rPr>
                <w:sz w:val="23"/>
              </w:rPr>
            </w:pPr>
            <w:r>
              <w:rPr>
                <w:rFonts w:hint="eastAsia" w:ascii="宋体" w:hAnsi="宋体" w:eastAsia="宋体"/>
                <w:color w:val="000000"/>
                <w:sz w:val="23"/>
              </w:rPr>
              <w:t>滑县气候为暖温带大陆性气候，光、热、水资源比较丰富，其特点为：春季温暖多风，夏季炎热多雨，秋季凉爽湿润，冬季寒冷干燥，四季分明，雨、热同季，有利于农作物的生长。</w:t>
            </w:r>
          </w:p>
          <w:p>
            <w:pPr>
              <w:spacing w:line="240" w:lineRule="auto"/>
              <w:ind w:firstLine="460"/>
              <w:jc w:val="both"/>
              <w:rPr>
                <w:sz w:val="23"/>
              </w:rPr>
            </w:pPr>
            <w:r>
              <w:rPr>
                <w:rFonts w:hint="eastAsia" w:ascii="宋体" w:hAnsi="宋体" w:eastAsia="宋体"/>
                <w:color w:val="000000"/>
                <w:sz w:val="23"/>
              </w:rPr>
              <w:t>历年气象资料表明，年平均气温为13.7℃，年极端最高气温41.8℃，极端最低气温-19.2℃；年平均降雨量619.7mm，土壤最大冻结深度120mm。年平均风速3.2m／s，最大风速31m／s，主导风向夏季为偏南风，冬季为偏北风，频率分别为31％和26％，静风频率为12.6％。</w:t>
            </w:r>
          </w:p>
          <w:p>
            <w:pPr>
              <w:spacing w:line="240" w:lineRule="auto"/>
              <w:ind w:firstLine="0"/>
              <w:jc w:val="both"/>
              <w:rPr>
                <w:sz w:val="23"/>
              </w:rPr>
            </w:pPr>
            <w:r>
              <w:rPr>
                <w:rFonts w:hint="eastAsia" w:ascii="宋体" w:hAnsi="宋体" w:eastAsia="宋体"/>
                <w:color w:val="000000"/>
                <w:sz w:val="23"/>
              </w:rPr>
              <w:t>4、水文</w:t>
            </w:r>
          </w:p>
          <w:p>
            <w:pPr>
              <w:spacing w:line="240" w:lineRule="auto"/>
              <w:ind w:firstLine="0"/>
              <w:jc w:val="both"/>
              <w:rPr>
                <w:sz w:val="23"/>
              </w:rPr>
            </w:pPr>
            <w:r>
              <w:rPr>
                <w:rFonts w:hint="eastAsia" w:ascii="宋体" w:hAnsi="宋体" w:eastAsia="宋体"/>
                <w:color w:val="000000"/>
                <w:sz w:val="23"/>
              </w:rPr>
              <w:t>4.1地下水</w:t>
            </w:r>
          </w:p>
          <w:p>
            <w:pPr>
              <w:spacing w:line="240" w:lineRule="auto"/>
              <w:ind w:firstLine="460"/>
              <w:jc w:val="both"/>
              <w:rPr>
                <w:sz w:val="23"/>
              </w:rPr>
            </w:pPr>
            <w:r>
              <w:rPr>
                <w:rFonts w:hint="eastAsia" w:ascii="宋体" w:hAnsi="宋体" w:eastAsia="宋体"/>
                <w:color w:val="000000"/>
                <w:sz w:val="23"/>
              </w:rPr>
              <w:t>滑县地下水较为丰富，在第四系全新统地层中含有8个含水层组。全县95％以上地下水呈弱碱性，pH值在7-9之间，矿化度2g／L以下的地下水占总面积的95.7％，</w:t>
            </w:r>
          </w:p>
        </w:tc>
      </w:tr>
    </w:tbl>
    <w:p>
      <w:pPr>
        <w:spacing w:line="1" w:lineRule="exact"/>
        <w:sectPr>
          <w:headerReference r:id="rId13" w:type="default"/>
          <w:footerReference r:id="rId14" w:type="default"/>
          <w:type w:val="continuous"/>
          <w:pgSz w:w="11900" w:h="16820"/>
          <w:pgMar w:top="1680" w:right="1200" w:bottom="1440" w:left="1200" w:header="840" w:footer="720" w:gutter="0"/>
          <w:cols w:space="720" w:num="1"/>
        </w:sectPr>
      </w:pPr>
    </w:p>
    <w:p>
      <w:pPr>
        <w:spacing w:line="408" w:lineRule="auto"/>
        <w:ind w:firstLine="0"/>
        <w:jc w:val="both"/>
        <w:rPr>
          <w:sz w:val="24"/>
        </w:rPr>
      </w:pPr>
      <w:r>
        <w:rPr>
          <w:rFonts w:hint="eastAsia" w:ascii="宋体" w:hAnsi="宋体" w:eastAsia="宋体"/>
          <w:color w:val="000000"/>
          <w:sz w:val="24"/>
        </w:rPr>
        <w:t>绝大部分水质较好。</w:t>
      </w:r>
    </w:p>
    <w:p>
      <w:pPr>
        <w:spacing w:line="408" w:lineRule="auto"/>
        <w:ind w:firstLine="0"/>
        <w:jc w:val="both"/>
        <w:rPr>
          <w:sz w:val="24"/>
        </w:rPr>
      </w:pPr>
      <w:r>
        <w:rPr>
          <w:rFonts w:hint="eastAsia" w:ascii="宋体" w:hAnsi="宋体" w:eastAsia="宋体"/>
          <w:color w:val="000000"/>
          <w:sz w:val="24"/>
        </w:rPr>
        <w:t>4.2地表水</w:t>
      </w:r>
    </w:p>
    <w:p>
      <w:pPr>
        <w:spacing w:line="408" w:lineRule="auto"/>
        <w:ind w:firstLine="480"/>
        <w:jc w:val="both"/>
        <w:rPr>
          <w:sz w:val="24"/>
        </w:rPr>
      </w:pPr>
      <w:r>
        <w:rPr>
          <w:rFonts w:hint="eastAsia" w:ascii="宋体" w:hAnsi="宋体" w:eastAsia="宋体"/>
          <w:color w:val="000000"/>
          <w:sz w:val="24"/>
        </w:rPr>
        <w:t>滑县境内河渠较多，分属黄河和海河两个流域。距项目最近的河流为项目南侧约1420m的金堤河。</w:t>
      </w:r>
    </w:p>
    <w:p>
      <w:pPr>
        <w:spacing w:line="408" w:lineRule="auto"/>
        <w:ind w:firstLine="480"/>
        <w:jc w:val="both"/>
        <w:rPr>
          <w:sz w:val="24"/>
        </w:rPr>
      </w:pPr>
      <w:r>
        <w:rPr>
          <w:rFonts w:hint="eastAsia" w:ascii="宋体" w:hAnsi="宋体" w:eastAsia="宋体"/>
          <w:color w:val="000000"/>
          <w:sz w:val="24"/>
        </w:rPr>
        <w:t>金堤河是滑县的主要排洪、排污河道，也是延津、封丘、长垣、濮阳、范县、台前等的一条大型排涝河道。金堤河在滑县境内的主要支流有黄庄河、柳青河、瓦岗河、贾公河、城关河、大宫河等。金堤河流经濮阳县北部纵贯全境后，经范县北部边界、台前县北部，在北张庄入黄河。在滑县境内金堤河流域面积1659k㎡，境内长度25.9km。金堤河近年来接纳了长垣县、封丘、滑县的大部分工业和城市废污水，已失去了工农业使用功能。</w:t>
      </w:r>
    </w:p>
    <w:p>
      <w:pPr>
        <w:spacing w:line="408" w:lineRule="auto"/>
        <w:ind w:firstLine="0"/>
        <w:jc w:val="both"/>
        <w:rPr>
          <w:sz w:val="24"/>
        </w:rPr>
      </w:pPr>
      <w:r>
        <w:rPr>
          <w:rFonts w:hint="eastAsia" w:ascii="宋体" w:hAnsi="宋体" w:eastAsia="宋体"/>
          <w:color w:val="000000"/>
          <w:sz w:val="24"/>
        </w:rPr>
        <w:t>5、生物多样性</w:t>
      </w:r>
    </w:p>
    <w:p>
      <w:pPr>
        <w:spacing w:line="408" w:lineRule="auto"/>
        <w:ind w:firstLine="480"/>
        <w:jc w:val="both"/>
        <w:rPr>
          <w:sz w:val="24"/>
        </w:rPr>
      </w:pPr>
      <w:r>
        <w:rPr>
          <w:rFonts w:hint="eastAsia" w:ascii="宋体" w:hAnsi="宋体" w:eastAsia="宋体"/>
          <w:color w:val="000000"/>
          <w:sz w:val="24"/>
        </w:rPr>
        <w:t>滑县为农业大县，植被以农作物为主。粮食作物有小麦、大麦、玉米、大豆、高粱、谷子、绿豆、黑豆、豌豆、红薯等；经济作物有棉花、花生、红花、芝麻、油菜、蓖麻、向日葵、西瓜、甜瓜、红麻等；蔬菜类有大白菜、小白菜、蔓菁、胡萝卜、白萝卜、菠菜、芹菜、韭菜、君达菜、宽菜、南瓜、冬瓜、笋瓜、菜瓜、黄瓜、丝瓜、葫芦、黄花菜、豆角、梅豆、茄子、芥菜、大葱、大蒜、辣椒、山药、莴苣、土豆、西红柿、西葫芦、洋白菜、洋葱、蘑菇等。</w:t>
      </w:r>
    </w:p>
    <w:p>
      <w:pPr>
        <w:spacing w:line="408" w:lineRule="auto"/>
        <w:ind w:firstLine="480"/>
        <w:jc w:val="both"/>
        <w:rPr>
          <w:sz w:val="24"/>
        </w:rPr>
      </w:pPr>
      <w:r>
        <w:rPr>
          <w:rFonts w:hint="eastAsia" w:ascii="宋体" w:hAnsi="宋体" w:eastAsia="宋体"/>
          <w:color w:val="000000"/>
          <w:sz w:val="24"/>
        </w:rPr>
        <w:t>当地传统乔木有毛白杨、白榆、臭椿、侧柏、桐树、柳树、桑树、黑槐树、刺槐等，引进的有沙兰杨、家杨、美国杨、意大利杨、泡桐、油松、法国梧桐等；灌木分栽培灌木和野生灌木，栽培灌木有紫穗槐、白蜡条、荆条、杞柳等，野生灌木有酸枣、葛藤；传统果木有枣、梨、杏、柿、桃、石榴、葡萄、李子、花红、花椒树等，引进的有苹果、山楂等。集聚区规划主要粮食作物为玉米、小麦，林业植被主要以毛白杨、白榆为主。</w:t>
      </w:r>
    </w:p>
    <w:p>
      <w:pPr>
        <w:spacing w:line="408" w:lineRule="auto"/>
        <w:ind w:firstLine="480"/>
        <w:jc w:val="both"/>
        <w:rPr>
          <w:sz w:val="24"/>
        </w:rPr>
        <w:sectPr>
          <w:footerReference r:id="rId15" w:type="default"/>
          <w:type w:val="continuous"/>
          <w:pgSz w:w="11900" w:h="16820"/>
          <w:pgMar w:top="1200" w:right="1200" w:bottom="2160" w:left="1200" w:header="600" w:footer="1080" w:gutter="0"/>
          <w:cols w:space="720" w:num="1"/>
        </w:sectPr>
      </w:pPr>
      <w:r>
        <w:rPr>
          <w:rFonts w:hint="eastAsia" w:ascii="宋体" w:hAnsi="宋体" w:eastAsia="宋体"/>
          <w:color w:val="000000"/>
          <w:sz w:val="24"/>
        </w:rPr>
        <w:t>根据现场勘查，该项目周边多以生产性企业、农田为主。其中项目周边动物主要为家禽类，植被以当季农作物为主。</w:t>
      </w:r>
    </w:p>
    <w:tbl>
      <w:tblPr>
        <w:tblStyle w:val="2"/>
        <w:tblW w:w="98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4940"/>
        <w:gridCol w:w="49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6260" w:hRule="atLeast"/>
          <w:jc w:val="center"/>
        </w:trPr>
        <w:tc>
          <w:tcPr>
            <w:tcW w:w="4880" w:type="dxa"/>
            <w:tcBorders>
              <w:top w:val="single" w:color="000000" w:sz="4" w:space="0"/>
              <w:left w:val="single" w:color="000000" w:sz="4" w:space="0"/>
              <w:bottom w:val="single" w:color="000000" w:sz="4" w:space="0"/>
              <w:right w:val="single" w:color="000000" w:sz="4" w:space="0"/>
            </w:tcBorders>
            <w:vAlign w:val="center"/>
          </w:tcPr>
          <w:p/>
        </w:tc>
        <w:tc>
          <w:tcPr>
            <w:tcW w:w="48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31"/>
              </w:rPr>
            </w:pPr>
            <w:r>
              <w:rPr>
                <w:rFonts w:hint="eastAsia" w:ascii="宋体" w:hAnsi="宋体" w:eastAsia="宋体"/>
                <w:color w:val="000000"/>
                <w:sz w:val="31"/>
              </w:rPr>
              <w:t>社会环境简况（社会经济结构、教育、文化、文物保护）</w:t>
            </w:r>
          </w:p>
          <w:p>
            <w:pPr>
              <w:spacing w:line="240" w:lineRule="auto"/>
              <w:ind w:firstLine="0"/>
              <w:jc w:val="both"/>
              <w:rPr>
                <w:sz w:val="24"/>
              </w:rPr>
            </w:pPr>
            <w:r>
              <w:rPr>
                <w:rFonts w:hint="eastAsia" w:ascii="宋体" w:hAnsi="宋体" w:eastAsia="宋体"/>
                <w:color w:val="000000"/>
                <w:sz w:val="24"/>
              </w:rPr>
              <w:t>1、行政区划</w:t>
            </w:r>
          </w:p>
          <w:p>
            <w:pPr>
              <w:spacing w:line="240" w:lineRule="auto"/>
              <w:ind w:firstLine="480"/>
              <w:jc w:val="both"/>
              <w:rPr>
                <w:sz w:val="24"/>
              </w:rPr>
            </w:pPr>
            <w:r>
              <w:rPr>
                <w:rFonts w:hint="eastAsia" w:ascii="宋体" w:hAnsi="宋体" w:eastAsia="宋体"/>
                <w:color w:val="000000"/>
                <w:sz w:val="24"/>
              </w:rPr>
              <w:t>滑县东西长51.1km，南北宽39.5km，县域面积1814km2，耕地面积195万亩。辖12个镇、10个乡、一个省级产业聚集区、1020个行政村，全县人口约143万人。白道口镇位于滑县北部。辖46个行政村，人口约6.1万。</w:t>
            </w:r>
          </w:p>
          <w:p>
            <w:pPr>
              <w:spacing w:line="240" w:lineRule="auto"/>
              <w:ind w:firstLine="0"/>
              <w:jc w:val="both"/>
              <w:rPr>
                <w:sz w:val="24"/>
              </w:rPr>
            </w:pPr>
            <w:r>
              <w:rPr>
                <w:rFonts w:hint="eastAsia" w:ascii="宋体" w:hAnsi="宋体" w:eastAsia="宋体"/>
                <w:color w:val="000000"/>
                <w:sz w:val="24"/>
              </w:rPr>
              <w:t>2、社会经济</w:t>
            </w:r>
          </w:p>
          <w:p>
            <w:pPr>
              <w:spacing w:line="240" w:lineRule="auto"/>
              <w:ind w:firstLine="480"/>
              <w:jc w:val="both"/>
              <w:rPr>
                <w:sz w:val="24"/>
              </w:rPr>
            </w:pPr>
            <w:r>
              <w:rPr>
                <w:rFonts w:hint="eastAsia" w:ascii="宋体" w:hAnsi="宋体" w:eastAsia="宋体"/>
                <w:color w:val="000000"/>
                <w:sz w:val="24"/>
              </w:rPr>
              <w:t>滑县是中原经济区粮食生产核心区、河南省第一产粮大县，耕地面积195万亩；改革开放以来滑县工业发展迅速，已初步形成造纸、机械、食品、医药化工、电线电缆、彩色印刷、塑料制品、纺织印染、木材加工等主导产业。</w:t>
            </w:r>
          </w:p>
          <w:p>
            <w:pPr>
              <w:spacing w:line="240" w:lineRule="auto"/>
              <w:ind w:firstLine="0"/>
              <w:jc w:val="both"/>
              <w:rPr>
                <w:sz w:val="24"/>
              </w:rPr>
            </w:pPr>
            <w:r>
              <w:rPr>
                <w:rFonts w:hint="eastAsia" w:ascii="宋体" w:hAnsi="宋体" w:eastAsia="宋体"/>
                <w:color w:val="000000"/>
                <w:sz w:val="24"/>
              </w:rPr>
              <w:t>2、教育文化</w:t>
            </w:r>
          </w:p>
          <w:p>
            <w:pPr>
              <w:spacing w:line="240" w:lineRule="auto"/>
              <w:ind w:firstLine="480"/>
              <w:jc w:val="both"/>
              <w:rPr>
                <w:sz w:val="24"/>
              </w:rPr>
            </w:pPr>
            <w:r>
              <w:rPr>
                <w:rFonts w:hint="eastAsia" w:ascii="宋体" w:hAnsi="宋体" w:eastAsia="宋体"/>
                <w:color w:val="000000"/>
                <w:sz w:val="24"/>
              </w:rPr>
              <w:t>滑县教育文化事业发达，有各级各类学校705所，其中普通高中8所，职业高中3所，初中91所，小学604所，特殊教育学校1所。中小学在校生共241290名，其中高中在校生14535名，普通高中阶段在校生11549人，职业高中在校生2986人，初中在校生75523名。小学在校生138120名，其它学校（园）在校生13212名。全县中小学教职工13186人，其中专任教师9967名。</w:t>
            </w:r>
          </w:p>
          <w:p>
            <w:pPr>
              <w:spacing w:line="240" w:lineRule="auto"/>
              <w:ind w:firstLine="480"/>
              <w:jc w:val="both"/>
              <w:rPr>
                <w:sz w:val="24"/>
              </w:rPr>
            </w:pPr>
            <w:r>
              <w:rPr>
                <w:rFonts w:hint="eastAsia" w:ascii="宋体" w:hAnsi="宋体" w:eastAsia="宋体"/>
                <w:color w:val="000000"/>
                <w:sz w:val="24"/>
              </w:rPr>
              <w:t>全县卫生系统共有27家公立医疗机构，其中包括滑县人民医院、滑县中医院、滑县中心医院等3家县级医疗单位，22个乡镇卫生院和县卫生防疫中心、县妇幼保健院两家防疫保健机构。</w:t>
            </w:r>
          </w:p>
          <w:p>
            <w:pPr>
              <w:spacing w:line="240" w:lineRule="auto"/>
              <w:ind w:firstLine="0"/>
              <w:jc w:val="both"/>
              <w:rPr>
                <w:sz w:val="24"/>
              </w:rPr>
            </w:pPr>
            <w:r>
              <w:rPr>
                <w:rFonts w:hint="eastAsia" w:ascii="宋体" w:hAnsi="宋体" w:eastAsia="宋体"/>
                <w:color w:val="000000"/>
                <w:sz w:val="24"/>
              </w:rPr>
              <w:t>3、交通状况</w:t>
            </w:r>
          </w:p>
          <w:p>
            <w:pPr>
              <w:spacing w:line="240" w:lineRule="auto"/>
              <w:ind w:firstLine="480"/>
              <w:jc w:val="both"/>
              <w:rPr>
                <w:sz w:val="24"/>
              </w:rPr>
            </w:pPr>
            <w:r>
              <w:rPr>
                <w:rFonts w:hint="eastAsia" w:ascii="宋体" w:hAnsi="宋体" w:eastAsia="宋体"/>
                <w:color w:val="000000"/>
                <w:sz w:val="24"/>
              </w:rPr>
              <w:t>大广高速、济东高速和新菏铁路穿境而过，107国道、京广铁路、京港澳高速、濮鹤高速等公路铁路干线，构成四通八达的“井”字交通网络。省道213线、307线、308线、101线、215线、222线等在滑县交汇。</w:t>
            </w:r>
          </w:p>
          <w:p>
            <w:pPr>
              <w:spacing w:line="240" w:lineRule="auto"/>
              <w:ind w:firstLine="0"/>
              <w:jc w:val="both"/>
              <w:rPr>
                <w:sz w:val="24"/>
              </w:rPr>
            </w:pPr>
            <w:r>
              <w:rPr>
                <w:rFonts w:hint="eastAsia" w:ascii="宋体" w:hAnsi="宋体" w:eastAsia="宋体"/>
                <w:color w:val="000000"/>
                <w:sz w:val="24"/>
              </w:rPr>
              <w:t>4、文物古迹</w:t>
            </w:r>
          </w:p>
          <w:p>
            <w:pPr>
              <w:spacing w:line="240" w:lineRule="auto"/>
              <w:ind w:firstLine="480"/>
              <w:jc w:val="both"/>
              <w:rPr>
                <w:sz w:val="24"/>
              </w:rPr>
            </w:pPr>
            <w:r>
              <w:rPr>
                <w:rFonts w:hint="eastAsia" w:ascii="宋体" w:hAnsi="宋体" w:eastAsia="宋体"/>
                <w:color w:val="000000"/>
                <w:sz w:val="24"/>
              </w:rPr>
              <w:t>滑县历史悠久，文化灿烂，是华夏文化的主要发祥地之一。境内名胜古迹众多，著名的瓦岗寨遗址、国家级重点文物明福寺塔、欧阳书院正在开发建设。滑县木版年画、大弦戏、大平调等被列入国家级非物质文化遗产名录，道口锡器、秦氏绢艺、安绣、故道家纺老粗布等民间工艺驰名中外。已有近400年历史的地方特产道口烧鸡被</w:t>
            </w:r>
          </w:p>
        </w:tc>
      </w:tr>
    </w:tbl>
    <w:p>
      <w:pPr>
        <w:spacing w:line="1" w:lineRule="exact"/>
        <w:sectPr>
          <w:footerReference r:id="rId16" w:type="default"/>
          <w:type w:val="continuous"/>
          <w:pgSz w:w="11900" w:h="16820"/>
          <w:pgMar w:top="960" w:right="960" w:bottom="1440" w:left="960" w:header="480" w:footer="720" w:gutter="0"/>
          <w:cols w:space="720" w:num="1"/>
        </w:sectPr>
      </w:pPr>
    </w:p>
    <w:tbl>
      <w:tblPr>
        <w:tblStyle w:val="2"/>
        <w:tblW w:w="95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50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64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誉为“中华第一鸡”，荣获国家传统知名品牌原产地域保护。根据现场勘查，本项目周围500m内没有文物和历史遗迹保护区。</w:t>
            </w:r>
          </w:p>
        </w:tc>
      </w:tr>
    </w:tbl>
    <w:p>
      <w:pPr>
        <w:spacing w:line="1" w:lineRule="exact"/>
        <w:sectPr>
          <w:footerReference r:id="rId17" w:type="default"/>
          <w:type w:val="continuous"/>
          <w:pgSz w:w="11900" w:h="16820"/>
          <w:pgMar w:top="1200" w:right="1200" w:bottom="1680" w:left="1200" w:header="600" w:footer="840" w:gutter="0"/>
          <w:cols w:space="720" w:num="1"/>
        </w:sectPr>
      </w:pPr>
    </w:p>
    <w:p>
      <w:pPr>
        <w:spacing w:line="336" w:lineRule="auto"/>
        <w:ind w:firstLine="580"/>
        <w:jc w:val="both"/>
        <w:rPr>
          <w:sz w:val="29"/>
        </w:rPr>
      </w:pPr>
      <w:r>
        <w:rPr>
          <w:rFonts w:hint="eastAsia" w:ascii="宋体" w:hAnsi="宋体" w:eastAsia="宋体"/>
          <w:color w:val="000000"/>
          <w:sz w:val="29"/>
        </w:rPr>
        <w:t>建设项目所在地区域环境质量现状及主要环境问题（环境空气、地表水、地下水、声环境、生态环境等）</w:t>
      </w:r>
    </w:p>
    <w:p>
      <w:pPr>
        <w:spacing w:line="408" w:lineRule="auto"/>
        <w:ind w:firstLine="0"/>
        <w:jc w:val="both"/>
        <w:rPr>
          <w:sz w:val="24"/>
        </w:rPr>
      </w:pPr>
      <w:r>
        <w:rPr>
          <w:rFonts w:hint="eastAsia" w:ascii="宋体" w:hAnsi="宋体" w:eastAsia="宋体"/>
          <w:color w:val="000000"/>
          <w:sz w:val="24"/>
        </w:rPr>
        <w:t>1、环境空气质量现状</w:t>
      </w:r>
    </w:p>
    <w:p>
      <w:pPr>
        <w:spacing w:line="408" w:lineRule="auto"/>
        <w:ind w:firstLine="480"/>
        <w:jc w:val="both"/>
        <w:rPr>
          <w:sz w:val="24"/>
        </w:rPr>
      </w:pPr>
      <w:r>
        <w:rPr>
          <w:rFonts w:hint="eastAsia" w:ascii="宋体" w:hAnsi="宋体" w:eastAsia="宋体"/>
          <w:color w:val="000000"/>
          <w:sz w:val="24"/>
        </w:rPr>
        <w:t>根据《滑县环境空气质量功能区划（2014-2017）》划分，项目所在地为二类功能区，执行《环境空气质量标准》（GB3095-2012）二级标准。本次环境空气质量现状数据引用“河南省环保厅网站最新检测数据”，该检测数据于2018.11.10公示，具体检测数据见表6。</w:t>
      </w:r>
    </w:p>
    <w:p>
      <w:pPr>
        <w:spacing w:line="408" w:lineRule="auto"/>
        <w:ind w:firstLine="480"/>
        <w:jc w:val="both"/>
        <w:rPr>
          <w:sz w:val="24"/>
        </w:rPr>
      </w:pPr>
      <w:r>
        <w:rPr>
          <w:rFonts w:hint="eastAsia" w:ascii="宋体" w:hAnsi="宋体" w:eastAsia="宋体"/>
          <w:color w:val="000000"/>
          <w:sz w:val="24"/>
        </w:rPr>
        <w:t>表6 环境空气监测浓度及评价结果一览表 单位：μg／m3（CO为mg／m3）</w:t>
      </w:r>
    </w:p>
    <w:tbl>
      <w:tblPr>
        <w:tblStyle w:val="2"/>
        <w:tblW w:w="92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270"/>
        <w:gridCol w:w="988"/>
        <w:gridCol w:w="989"/>
        <w:gridCol w:w="989"/>
        <w:gridCol w:w="989"/>
        <w:gridCol w:w="989"/>
        <w:gridCol w:w="302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12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项目</w:t>
            </w:r>
          </w:p>
        </w:tc>
        <w:tc>
          <w:tcPr>
            <w:tcW w:w="790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日均值评价</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40" w:hRule="atLeast"/>
          <w:jc w:val="center"/>
        </w:trPr>
        <w:tc>
          <w:tcPr>
            <w:tcW w:w="1260" w:type="dxa"/>
            <w:vMerge w:val="continue"/>
            <w:tcBorders>
              <w:left w:val="single" w:color="000000" w:sz="4" w:space="0"/>
            </w:tcBorders>
          </w:tcP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SO2</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NO2</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PM2.5</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PM10</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CO</w:t>
            </w:r>
          </w:p>
        </w:tc>
        <w:tc>
          <w:tcPr>
            <w:tcW w:w="3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O3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6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检测数值</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24</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55</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109</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143</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0.32</w:t>
            </w:r>
          </w:p>
        </w:tc>
        <w:tc>
          <w:tcPr>
            <w:tcW w:w="3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51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4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标准</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150</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80</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75</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150</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4</w:t>
            </w:r>
          </w:p>
        </w:tc>
        <w:tc>
          <w:tcPr>
            <w:tcW w:w="3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160（日最大8小时平均）</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6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达标情况</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达标</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达标</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达标</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达标</w:t>
            </w:r>
          </w:p>
        </w:tc>
        <w:tc>
          <w:tcPr>
            <w:tcW w:w="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达标</w:t>
            </w:r>
          </w:p>
        </w:tc>
        <w:tc>
          <w:tcPr>
            <w:tcW w:w="3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达标</w:t>
            </w:r>
          </w:p>
        </w:tc>
      </w:tr>
    </w:tbl>
    <w:p>
      <w:pPr>
        <w:spacing w:line="408" w:lineRule="auto"/>
        <w:ind w:firstLine="480"/>
        <w:jc w:val="both"/>
        <w:rPr>
          <w:sz w:val="24"/>
        </w:rPr>
      </w:pPr>
      <w:r>
        <w:rPr>
          <w:rFonts w:hint="eastAsia" w:ascii="宋体" w:hAnsi="宋体" w:eastAsia="宋体"/>
          <w:color w:val="000000"/>
          <w:sz w:val="24"/>
        </w:rPr>
        <w:t>由上表可知，区域SO2、NO2、PM10、PM25、CO、O3均可满足《环境空气质量标准》（GB3095-2012）表1二级标准要求。项目所在区域环境空气质量现状较好。</w:t>
      </w:r>
    </w:p>
    <w:p>
      <w:pPr>
        <w:spacing w:line="408" w:lineRule="auto"/>
        <w:ind w:firstLine="0"/>
        <w:jc w:val="both"/>
        <w:rPr>
          <w:sz w:val="24"/>
        </w:rPr>
      </w:pPr>
      <w:r>
        <w:rPr>
          <w:rFonts w:hint="eastAsia" w:ascii="宋体" w:hAnsi="宋体" w:eastAsia="宋体"/>
          <w:color w:val="000000"/>
          <w:sz w:val="24"/>
        </w:rPr>
        <w:t>2、地表水环境质量现状</w:t>
      </w:r>
    </w:p>
    <w:p>
      <w:pPr>
        <w:spacing w:line="408" w:lineRule="auto"/>
        <w:ind w:firstLine="480"/>
        <w:jc w:val="both"/>
        <w:rPr>
          <w:sz w:val="24"/>
        </w:rPr>
      </w:pPr>
      <w:r>
        <w:rPr>
          <w:rFonts w:hint="eastAsia" w:ascii="宋体" w:hAnsi="宋体" w:eastAsia="宋体"/>
          <w:color w:val="000000"/>
          <w:sz w:val="24"/>
        </w:rPr>
        <w:t>本项目周边最近的河流为南侧约1420m的金堤河。本次评价引用“河南省2017年第48期河南省地表水环境责任目标断面水质周报”中金堤河濮阳大韩桥断面监测数据进行地表水环境质量现状评价，具体监测数据见表7。</w:t>
      </w:r>
    </w:p>
    <w:p>
      <w:pPr>
        <w:spacing w:line="408" w:lineRule="auto"/>
        <w:ind w:firstLine="0"/>
        <w:jc w:val="both"/>
        <w:rPr>
          <w:sz w:val="24"/>
        </w:rPr>
      </w:pPr>
      <w:r>
        <w:rPr>
          <w:rFonts w:hint="eastAsia" w:ascii="Calibri" w:hAnsi="Calibri" w:eastAsia="Calibri"/>
          <w:color w:val="000000"/>
          <w:sz w:val="24"/>
        </w:rPr>
        <w:t>表7                       地表水环境质量现状监测结果</w:t>
      </w:r>
    </w:p>
    <w:tbl>
      <w:tblPr>
        <w:tblStyle w:val="2"/>
        <w:tblW w:w="91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924"/>
        <w:gridCol w:w="2504"/>
        <w:gridCol w:w="2524"/>
        <w:gridCol w:w="216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9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类别</w:t>
            </w:r>
          </w:p>
        </w:tc>
        <w:tc>
          <w:tcPr>
            <w:tcW w:w="25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COD</w:t>
            </w: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NH3-N</w:t>
            </w:r>
          </w:p>
        </w:tc>
        <w:tc>
          <w:tcPr>
            <w:tcW w:w="2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总磷</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9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监测时间</w:t>
            </w:r>
          </w:p>
        </w:tc>
        <w:tc>
          <w:tcPr>
            <w:tcW w:w="724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2017年11月20日～2017年11月26日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9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监测值</w:t>
            </w:r>
          </w:p>
        </w:tc>
        <w:tc>
          <w:tcPr>
            <w:tcW w:w="25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27.0mg/L</w:t>
            </w: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0.28mg/L</w:t>
            </w:r>
          </w:p>
        </w:tc>
        <w:tc>
          <w:tcPr>
            <w:tcW w:w="2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0.03mg/L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9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标准值</w:t>
            </w:r>
          </w:p>
        </w:tc>
        <w:tc>
          <w:tcPr>
            <w:tcW w:w="25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≤40mg/L</w:t>
            </w: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≤2.0mg/L</w:t>
            </w:r>
          </w:p>
        </w:tc>
        <w:tc>
          <w:tcPr>
            <w:tcW w:w="2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9"/>
              </w:rPr>
            </w:pPr>
            <w:r>
              <w:rPr>
                <w:rFonts w:hint="eastAsia" w:ascii="Calibri" w:hAnsi="Calibri" w:eastAsia="Calibri"/>
                <w:color w:val="000000"/>
                <w:sz w:val="19"/>
              </w:rPr>
              <w:t>≤0.4mg/L</w:t>
            </w:r>
          </w:p>
        </w:tc>
      </w:tr>
    </w:tbl>
    <w:p>
      <w:pPr>
        <w:spacing w:line="408" w:lineRule="auto"/>
        <w:ind w:firstLine="480"/>
        <w:jc w:val="both"/>
        <w:rPr>
          <w:sz w:val="24"/>
        </w:rPr>
      </w:pPr>
      <w:r>
        <w:rPr>
          <w:rFonts w:hint="eastAsia" w:ascii="宋体" w:hAnsi="宋体" w:eastAsia="宋体"/>
          <w:color w:val="000000"/>
          <w:sz w:val="24"/>
        </w:rPr>
        <w:t>由表7可知，项目所在区域金堤河濮阳大韩桥断面地表水环境质量可以满足《地表水环境质量标准》（GB3838-2002）V类标准。</w:t>
      </w:r>
    </w:p>
    <w:p>
      <w:pPr>
        <w:spacing w:line="408" w:lineRule="auto"/>
        <w:ind w:firstLine="0"/>
        <w:jc w:val="both"/>
        <w:rPr>
          <w:sz w:val="24"/>
        </w:rPr>
      </w:pPr>
      <w:r>
        <w:rPr>
          <w:rFonts w:hint="eastAsia" w:ascii="宋体" w:hAnsi="宋体" w:eastAsia="宋体"/>
          <w:color w:val="000000"/>
          <w:sz w:val="24"/>
        </w:rPr>
        <w:t>3、声环境现状</w:t>
      </w:r>
    </w:p>
    <w:p>
      <w:pPr>
        <w:spacing w:line="408" w:lineRule="auto"/>
        <w:ind w:firstLine="480"/>
        <w:jc w:val="both"/>
        <w:rPr>
          <w:sz w:val="24"/>
        </w:rPr>
        <w:sectPr>
          <w:headerReference r:id="rId18" w:type="default"/>
          <w:footerReference r:id="rId19" w:type="default"/>
          <w:type w:val="continuous"/>
          <w:pgSz w:w="11900" w:h="16820"/>
          <w:pgMar w:top="1680" w:right="1200" w:bottom="1200" w:left="1200" w:header="840" w:footer="600" w:gutter="0"/>
          <w:cols w:space="720" w:num="1"/>
        </w:sectPr>
      </w:pPr>
      <w:r>
        <w:rPr>
          <w:rFonts w:hint="eastAsia" w:ascii="宋体" w:hAnsi="宋体" w:eastAsia="宋体"/>
          <w:color w:val="000000"/>
          <w:sz w:val="24"/>
        </w:rPr>
        <w:t>本项目所在区域为乡村地区，根据《声环境功能区划技术规范》（GB／T15190-</w:t>
      </w:r>
    </w:p>
    <w:p>
      <w:pPr>
        <w:spacing w:line="408" w:lineRule="auto"/>
        <w:ind w:firstLine="0"/>
        <w:jc w:val="both"/>
        <w:rPr>
          <w:sz w:val="25"/>
        </w:rPr>
      </w:pPr>
      <w:r>
        <w:rPr>
          <w:rFonts w:hint="eastAsia" w:ascii="宋体" w:hAnsi="宋体" w:eastAsia="宋体"/>
          <w:color w:val="000000"/>
          <w:sz w:val="25"/>
        </w:rPr>
        <w:t>2014）规定：乡村声环境功能的确定，按《声环境质量标准》（GB3096-2008）的规定执行。所以本项目所在区域执行《声环境质量标准》（GB3096-2008）2类标准。</w:t>
      </w:r>
    </w:p>
    <w:p>
      <w:pPr>
        <w:spacing w:line="408" w:lineRule="auto"/>
        <w:ind w:firstLine="500"/>
        <w:jc w:val="both"/>
        <w:rPr>
          <w:sz w:val="25"/>
        </w:rPr>
      </w:pPr>
      <w:r>
        <w:rPr>
          <w:rFonts w:hint="eastAsia" w:ascii="宋体" w:hAnsi="宋体" w:eastAsia="宋体"/>
          <w:color w:val="000000"/>
          <w:sz w:val="25"/>
        </w:rPr>
        <w:t>经调查该区域的声环境噪声值昼间为52dB（A），夜间为42dB（A），满足《声环境质量标准》（GB3096-2008）2类标准规定的昼间60dB（A）、夜间50dB（A）的标准要求。</w:t>
      </w:r>
    </w:p>
    <w:p>
      <w:pPr>
        <w:spacing w:line="408" w:lineRule="auto"/>
        <w:ind w:firstLine="0"/>
        <w:jc w:val="both"/>
        <w:rPr>
          <w:sz w:val="25"/>
        </w:rPr>
      </w:pPr>
      <w:r>
        <w:rPr>
          <w:rFonts w:hint="eastAsia" w:ascii="宋体" w:hAnsi="宋体" w:eastAsia="宋体"/>
          <w:color w:val="000000"/>
          <w:sz w:val="25"/>
        </w:rPr>
        <w:t>4、生态环境现状</w:t>
      </w:r>
    </w:p>
    <w:p>
      <w:pPr>
        <w:spacing w:line="408" w:lineRule="auto"/>
        <w:ind w:firstLine="500"/>
        <w:jc w:val="both"/>
        <w:rPr>
          <w:sz w:val="25"/>
        </w:rPr>
      </w:pPr>
      <w:r>
        <w:rPr>
          <w:rFonts w:hint="eastAsia" w:ascii="宋体" w:hAnsi="宋体" w:eastAsia="宋体"/>
          <w:color w:val="000000"/>
          <w:sz w:val="25"/>
        </w:rPr>
        <w:t>由于长期人为活动和自然条件的影响，区域天然植被几乎无残存，植物主要为人工种植植物，区域内已无珍稀动植物存在，附近无自然生态保护区。主要环境保护目标（列出名单及保护级别）：</w:t>
      </w:r>
    </w:p>
    <w:p>
      <w:pPr>
        <w:spacing w:line="408" w:lineRule="auto"/>
        <w:ind w:firstLine="500"/>
        <w:jc w:val="both"/>
        <w:rPr>
          <w:sz w:val="25"/>
        </w:rPr>
      </w:pPr>
      <w:r>
        <w:rPr>
          <w:rFonts w:hint="eastAsia" w:ascii="宋体" w:hAnsi="宋体" w:eastAsia="宋体"/>
          <w:color w:val="000000"/>
          <w:sz w:val="25"/>
        </w:rPr>
        <w:t>本项目周边主要保护目标详见表8。</w:t>
      </w:r>
    </w:p>
    <w:p>
      <w:pPr>
        <w:spacing w:line="408" w:lineRule="auto"/>
        <w:ind w:firstLine="0"/>
        <w:jc w:val="both"/>
        <w:rPr>
          <w:sz w:val="25"/>
        </w:rPr>
      </w:pPr>
      <w:r>
        <w:rPr>
          <w:rFonts w:hint="eastAsia" w:ascii="Calibri" w:hAnsi="Calibri" w:eastAsia="Calibri"/>
          <w:color w:val="000000"/>
          <w:sz w:val="25"/>
        </w:rPr>
        <w:t>表8                 本项目环境保护目标</w:t>
      </w:r>
    </w:p>
    <w:tbl>
      <w:tblPr>
        <w:tblStyle w:val="2"/>
        <w:tblW w:w="93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357"/>
        <w:gridCol w:w="1356"/>
        <w:gridCol w:w="779"/>
        <w:gridCol w:w="1078"/>
        <w:gridCol w:w="475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类别</w:t>
            </w:r>
          </w:p>
        </w:tc>
        <w:tc>
          <w:tcPr>
            <w:tcW w:w="13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保护目标</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方位</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距离</w:t>
            </w:r>
          </w:p>
        </w:tc>
        <w:tc>
          <w:tcPr>
            <w:tcW w:w="47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5"/>
              </w:rPr>
            </w:pPr>
            <w:r>
              <w:rPr>
                <w:rFonts w:hint="eastAsia" w:ascii="宋体" w:hAnsi="宋体" w:eastAsia="宋体"/>
                <w:color w:val="000000"/>
                <w:sz w:val="25"/>
              </w:rPr>
              <w:t>环境保护要求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环境空气、声环境</w:t>
            </w: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白道口居民</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N</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150m</w:t>
            </w:r>
          </w:p>
        </w:tc>
        <w:tc>
          <w:tcPr>
            <w:tcW w:w="47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《环境空气质量标准》（GB3095-2012）二级</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360" w:type="dxa"/>
            <w:vMerge w:val="continue"/>
            <w:tcBorders>
              <w:left w:val="single" w:color="000000" w:sz="4" w:space="0"/>
            </w:tcBorders>
          </w:tcPr>
          <w:p/>
        </w:tc>
        <w:tc>
          <w:tcPr>
            <w:tcW w:w="1360" w:type="dxa"/>
            <w:vMerge w:val="continue"/>
            <w:tcBorders>
              <w:left w:val="single" w:color="000000" w:sz="4" w:space="0"/>
            </w:tcBorders>
          </w:tcP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W</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100m</w:t>
            </w:r>
          </w:p>
        </w:tc>
        <w:tc>
          <w:tcPr>
            <w:tcW w:w="476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360" w:type="dxa"/>
            <w:vMerge w:val="continue"/>
            <w:tcBorders>
              <w:left w:val="single" w:color="000000" w:sz="4" w:space="0"/>
            </w:tcBorders>
          </w:tcPr>
          <w:p/>
        </w:tc>
        <w:tc>
          <w:tcPr>
            <w:tcW w:w="1360" w:type="dxa"/>
            <w:vMerge w:val="continue"/>
            <w:tcBorders>
              <w:left w:val="single" w:color="000000" w:sz="4" w:space="0"/>
            </w:tcBorders>
          </w:tcP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SW</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120m</w:t>
            </w:r>
          </w:p>
        </w:tc>
        <w:tc>
          <w:tcPr>
            <w:tcW w:w="47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宋体" w:hAnsi="宋体" w:eastAsia="宋体"/>
                <w:color w:val="000000"/>
                <w:sz w:val="22"/>
              </w:rPr>
              <w:t>《声环境质量标准》（GB3096-2008）2类标准</w:t>
            </w:r>
          </w:p>
        </w:tc>
      </w:tr>
    </w:tbl>
    <w:p>
      <w:pPr>
        <w:spacing w:line="1" w:lineRule="exact"/>
        <w:sectPr>
          <w:footerReference r:id="rId20" w:type="default"/>
          <w:type w:val="continuous"/>
          <w:pgSz w:w="11900" w:h="16820"/>
          <w:pgMar w:top="1200" w:right="1200" w:bottom="2880" w:left="1200" w:header="600" w:footer="1440" w:gutter="0"/>
          <w:cols w:space="720" w:num="1"/>
        </w:sectPr>
      </w:pPr>
    </w:p>
    <w:tbl>
      <w:tblPr>
        <w:tblStyle w:val="2"/>
        <w:tblW w:w="93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582"/>
        <w:gridCol w:w="791"/>
        <w:gridCol w:w="90"/>
        <w:gridCol w:w="655"/>
        <w:gridCol w:w="249"/>
        <w:gridCol w:w="995"/>
        <w:gridCol w:w="316"/>
        <w:gridCol w:w="655"/>
        <w:gridCol w:w="859"/>
        <w:gridCol w:w="769"/>
        <w:gridCol w:w="241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80" w:hRule="atLeast"/>
          <w:jc w:val="center"/>
        </w:trPr>
        <w:tc>
          <w:tcPr>
            <w:tcW w:w="8300"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auto"/>
              <w:ind w:firstLine="460"/>
              <w:jc w:val="both"/>
              <w:rPr>
                <w:sz w:val="23"/>
              </w:rPr>
            </w:pPr>
            <w:r>
              <w:rPr>
                <w:rFonts w:hint="eastAsia" w:ascii="宋体" w:hAnsi="宋体" w:eastAsia="宋体"/>
                <w:color w:val="000000"/>
                <w:sz w:val="23"/>
              </w:rPr>
              <w:t>1、大气环境执行《环境空气质量标准》（GB3095-2012）二级标准。表9《环境空气质量标准》（GB3095-2012）二级 单位μg／m3（CO为mg／m3）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污染物名称</w:t>
            </w:r>
          </w:p>
        </w:tc>
        <w:tc>
          <w:tcPr>
            <w:tcW w:w="7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SO2</w:t>
            </w:r>
          </w:p>
        </w:tc>
        <w:tc>
          <w:tcPr>
            <w:tcW w:w="80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PM10</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PM2.5</w:t>
            </w:r>
          </w:p>
        </w:tc>
        <w:tc>
          <w:tcPr>
            <w:tcW w:w="8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NO2</w:t>
            </w:r>
          </w:p>
        </w:tc>
        <w:tc>
          <w:tcPr>
            <w:tcW w:w="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CO</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O3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60" w:hRule="atLeast"/>
          <w:jc w:val="center"/>
        </w:trPr>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年平均</w:t>
            </w:r>
          </w:p>
        </w:tc>
        <w:tc>
          <w:tcPr>
            <w:tcW w:w="7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60</w:t>
            </w:r>
          </w:p>
        </w:tc>
        <w:tc>
          <w:tcPr>
            <w:tcW w:w="80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70</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35</w:t>
            </w:r>
          </w:p>
        </w:tc>
        <w:tc>
          <w:tcPr>
            <w:tcW w:w="8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40</w:t>
            </w:r>
          </w:p>
        </w:tc>
        <w:tc>
          <w:tcPr>
            <w:tcW w:w="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60" w:hRule="atLeast"/>
          <w:jc w:val="center"/>
        </w:trPr>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日平均</w:t>
            </w:r>
          </w:p>
        </w:tc>
        <w:tc>
          <w:tcPr>
            <w:tcW w:w="7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150</w:t>
            </w:r>
          </w:p>
        </w:tc>
        <w:tc>
          <w:tcPr>
            <w:tcW w:w="80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150</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75</w:t>
            </w:r>
          </w:p>
        </w:tc>
        <w:tc>
          <w:tcPr>
            <w:tcW w:w="8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80</w:t>
            </w:r>
          </w:p>
        </w:tc>
        <w:tc>
          <w:tcPr>
            <w:tcW w:w="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4</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160（日最大8小时平均）</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80" w:hRule="atLeast"/>
          <w:jc w:val="center"/>
        </w:trPr>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1小时平均</w:t>
            </w:r>
          </w:p>
        </w:tc>
        <w:tc>
          <w:tcPr>
            <w:tcW w:w="7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500</w:t>
            </w:r>
          </w:p>
        </w:tc>
        <w:tc>
          <w:tcPr>
            <w:tcW w:w="80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w:t>
            </w:r>
          </w:p>
        </w:tc>
        <w:tc>
          <w:tcPr>
            <w:tcW w:w="8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200</w:t>
            </w:r>
          </w:p>
        </w:tc>
        <w:tc>
          <w:tcPr>
            <w:tcW w:w="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10</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200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580" w:hRule="atLeast"/>
          <w:jc w:val="center"/>
        </w:trPr>
        <w:tc>
          <w:tcPr>
            <w:tcW w:w="8300"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2、声环境项目所在区域执行《声环境质量标准》（GB3096-2008）2类标准。表10  《声环境质量标准》（GB3096-2008）2类标准值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276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类别</w:t>
            </w:r>
          </w:p>
        </w:tc>
        <w:tc>
          <w:tcPr>
            <w:tcW w:w="272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9"/>
              </w:rPr>
            </w:pPr>
            <w:r>
              <w:rPr>
                <w:rFonts w:hint="eastAsia" w:ascii="Calibri" w:hAnsi="Calibri" w:eastAsia="Calibri"/>
                <w:color w:val="000000"/>
                <w:sz w:val="19"/>
              </w:rPr>
              <w:t>昼间dB（A）</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9"/>
              </w:rPr>
            </w:pPr>
            <w:r>
              <w:rPr>
                <w:rFonts w:hint="eastAsia" w:ascii="Calibri" w:hAnsi="Calibri" w:eastAsia="Calibri"/>
                <w:color w:val="000000"/>
                <w:sz w:val="19"/>
              </w:rPr>
              <w:t>夜间dB（A）</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276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2</w:t>
            </w:r>
          </w:p>
        </w:tc>
        <w:tc>
          <w:tcPr>
            <w:tcW w:w="272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60</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50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580" w:hRule="atLeast"/>
          <w:jc w:val="center"/>
        </w:trPr>
        <w:tc>
          <w:tcPr>
            <w:tcW w:w="8300"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3、地表水金堤河执行《地表水环境质量标准》（GB3838-2002）V类标准。表11  《地表水环境质量标准》（GB3838-2002）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10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项目</w:t>
            </w:r>
          </w:p>
        </w:tc>
        <w:tc>
          <w:tcPr>
            <w:tcW w:w="204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COD(mg/L)</w:t>
            </w:r>
          </w:p>
        </w:tc>
        <w:tc>
          <w:tcPr>
            <w:tcW w:w="202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BOD5(mg/L)</w:t>
            </w:r>
          </w:p>
        </w:tc>
        <w:tc>
          <w:tcPr>
            <w:tcW w:w="2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drawing>
                <wp:inline distT="0" distB="0" distL="0" distR="0">
                  <wp:extent cx="825500" cy="1524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69" cstate="print"/>
                          <a:stretch>
                            <a:fillRect/>
                          </a:stretch>
                        </pic:blipFill>
                        <pic:spPr>
                          <a:xfrm>
                            <a:off x="1000" y="1000"/>
                            <a:ext cx="825500" cy="152400"/>
                          </a:xfrm>
                          <a:prstGeom prst="rect">
                            <a:avLst/>
                          </a:prstGeom>
                        </pic:spPr>
                      </pic:pic>
                    </a:graphicData>
                  </a:graphic>
                </wp:inline>
              </w:drawing>
            </w:r>
            <w:r>
              <w:rPr>
                <w:rFonts w:hint="eastAsia" w:ascii="Calibri" w:hAnsi="Calibri" w:eastAsia="Calibri"/>
                <w:color w:val="000000"/>
                <w:sz w:val="23"/>
              </w:rPr>
              <w:t xml:space="preserve"> (mg/L)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210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V类标准值</w:t>
            </w:r>
          </w:p>
        </w:tc>
        <w:tc>
          <w:tcPr>
            <w:tcW w:w="204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≤40</w:t>
            </w:r>
          </w:p>
        </w:tc>
        <w:tc>
          <w:tcPr>
            <w:tcW w:w="202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≤10</w:t>
            </w:r>
          </w:p>
        </w:tc>
        <w:tc>
          <w:tcPr>
            <w:tcW w:w="2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drawing>
                <wp:inline distT="0" distB="0" distL="0" distR="0">
                  <wp:extent cx="330200" cy="1524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70" cstate="print"/>
                          <a:stretch>
                            <a:fillRect/>
                          </a:stretch>
                        </pic:blipFill>
                        <pic:spPr>
                          <a:xfrm>
                            <a:off x="1000" y="1000"/>
                            <a:ext cx="330200" cy="152400"/>
                          </a:xfrm>
                          <a:prstGeom prst="rect">
                            <a:avLst/>
                          </a:prstGeom>
                        </pic:spPr>
                      </pic:pic>
                    </a:graphicData>
                  </a:graphic>
                </wp:inline>
              </w:drawing>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300" w:hRule="atLeast"/>
          <w:jc w:val="center"/>
        </w:trPr>
        <w:tc>
          <w:tcPr>
            <w:tcW w:w="8300"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1、废气：粉尘执行《大气污染物综合排放标准》表2中无组织排放监控浓度限值。</w:t>
            </w:r>
          </w:p>
          <w:p>
            <w:pPr>
              <w:spacing w:line="240" w:lineRule="auto"/>
              <w:ind w:firstLine="0"/>
              <w:jc w:val="both"/>
              <w:rPr>
                <w:sz w:val="23"/>
              </w:rPr>
            </w:pPr>
            <w:r>
              <w:rPr>
                <w:rFonts w:hint="eastAsia" w:ascii="宋体" w:hAnsi="宋体" w:eastAsia="宋体"/>
                <w:color w:val="000000"/>
                <w:sz w:val="23"/>
              </w:rPr>
              <w:t>2、噪声：执行《工业企业厂界环境噪声排放标准》（GB12348-2008）2类标准。</w:t>
            </w:r>
          </w:p>
          <w:p>
            <w:pPr>
              <w:spacing w:line="240" w:lineRule="auto"/>
              <w:ind w:firstLine="0"/>
              <w:jc w:val="both"/>
              <w:rPr>
                <w:sz w:val="23"/>
              </w:rPr>
            </w:pPr>
            <w:r>
              <w:rPr>
                <w:rFonts w:hint="eastAsia" w:ascii="宋体" w:hAnsi="宋体" w:eastAsia="宋体"/>
                <w:color w:val="000000"/>
                <w:sz w:val="23"/>
              </w:rPr>
              <w:t>3、固体废物：《一般工业固体废物贮存、处置场污染控制标准》（GB18599-2001）（2013年修改单）。</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140" w:hRule="atLeast"/>
          <w:jc w:val="center"/>
        </w:trPr>
        <w:tc>
          <w:tcPr>
            <w:tcW w:w="8300"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auto"/>
              <w:ind w:firstLine="460"/>
              <w:jc w:val="both"/>
              <w:rPr>
                <w:sz w:val="23"/>
              </w:rPr>
            </w:pPr>
            <w:r>
              <w:rPr>
                <w:rFonts w:hint="eastAsia" w:ascii="宋体" w:hAnsi="宋体" w:eastAsia="宋体"/>
                <w:color w:val="000000"/>
                <w:sz w:val="23"/>
              </w:rPr>
              <w:t>本项目无生产废水产生，生活污水的主要污染因子为COD和NH3-N，经厂区化粪池处理后由企业定期清掏用于沤制农家肥，不外排。因此，本项目不涉及总量控制指标。</w:t>
            </w:r>
          </w:p>
        </w:tc>
      </w:tr>
    </w:tbl>
    <w:p>
      <w:pPr>
        <w:spacing w:line="1" w:lineRule="exact"/>
        <w:sectPr>
          <w:headerReference r:id="rId21" w:type="default"/>
          <w:footerReference r:id="rId22" w:type="default"/>
          <w:type w:val="continuous"/>
          <w:pgSz w:w="11900" w:h="16820"/>
          <w:pgMar w:top="1680" w:right="1200" w:bottom="1200" w:left="1200" w:header="840" w:footer="600" w:gutter="0"/>
          <w:cols w:space="720" w:num="1"/>
        </w:sectPr>
      </w:pPr>
    </w:p>
    <w:p>
      <w:pPr>
        <w:spacing w:line="480" w:lineRule="auto"/>
        <w:ind w:firstLine="0"/>
        <w:jc w:val="both"/>
        <w:rPr>
          <w:sz w:val="21"/>
        </w:rPr>
      </w:pPr>
      <w:r>
        <w:rPr>
          <w:rFonts w:hint="eastAsia" w:ascii="宋体" w:hAnsi="宋体" w:eastAsia="宋体"/>
          <w:color w:val="000000"/>
          <w:sz w:val="21"/>
        </w:rPr>
        <w:t>工艺流程简述</w:t>
      </w:r>
    </w:p>
    <w:p>
      <w:pPr>
        <w:spacing w:line="480" w:lineRule="auto"/>
        <w:ind w:firstLine="420"/>
        <w:jc w:val="both"/>
        <w:rPr>
          <w:sz w:val="21"/>
        </w:rPr>
      </w:pPr>
      <w:r>
        <w:rPr>
          <w:rFonts w:hint="eastAsia" w:ascii="宋体" w:hAnsi="宋体" w:eastAsia="宋体"/>
          <w:color w:val="000000"/>
          <w:sz w:val="21"/>
        </w:rPr>
        <w:t>本项目利用已有空置厂房，项目施工期主要进行设备安装，施工活动大部分位于厂房内，因此本项目环境影响主要发生在营运期。</w:t>
      </w:r>
    </w:p>
    <w:p>
      <w:pPr>
        <w:spacing w:line="480" w:lineRule="auto"/>
        <w:ind w:firstLine="420"/>
        <w:jc w:val="both"/>
        <w:rPr>
          <w:sz w:val="21"/>
        </w:rPr>
      </w:pPr>
      <w:r>
        <w:rPr>
          <w:rFonts w:hint="eastAsia" w:ascii="宋体" w:hAnsi="宋体" w:eastAsia="宋体"/>
          <w:color w:val="000000"/>
          <w:sz w:val="21"/>
        </w:rPr>
        <w:t>本项目生产的衣柜、低柜、梳妆台、大床均为板木结合家具，生产工艺详见图2。</w:t>
      </w:r>
    </w:p>
    <w:p>
      <w:pPr>
        <w:jc w:val="center"/>
      </w:pPr>
      <w:r>
        <w:drawing>
          <wp:inline distT="0" distB="0" distL="0" distR="0">
            <wp:extent cx="2514600" cy="4102100"/>
            <wp:effectExtent l="0" t="0" r="0" b="0"/>
            <wp:docPr id="2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MAL"/>
                    <pic:cNvPicPr>
                      <a:picLocks noChangeAspect="1"/>
                    </pic:cNvPicPr>
                  </pic:nvPicPr>
                  <pic:blipFill>
                    <a:blip r:embed="rId71" cstate="print"/>
                    <a:stretch>
                      <a:fillRect/>
                    </a:stretch>
                  </pic:blipFill>
                  <pic:spPr>
                    <a:xfrm>
                      <a:off x="1000" y="1000"/>
                      <a:ext cx="2514600" cy="4102100"/>
                    </a:xfrm>
                    <a:prstGeom prst="rect">
                      <a:avLst/>
                    </a:prstGeom>
                  </pic:spPr>
                </pic:pic>
              </a:graphicData>
            </a:graphic>
          </wp:inline>
        </w:drawing>
      </w:r>
    </w:p>
    <w:p>
      <w:pPr>
        <w:spacing w:line="480" w:lineRule="auto"/>
        <w:jc w:val="center"/>
        <w:rPr>
          <w:sz w:val="21"/>
        </w:rPr>
      </w:pPr>
      <w:r>
        <w:rPr>
          <w:rFonts w:hint="eastAsia" w:ascii="宋体" w:hAnsi="宋体" w:eastAsia="宋体"/>
          <w:color w:val="000000"/>
          <w:sz w:val="21"/>
        </w:rPr>
        <w:t>图二           项目工艺流程图</w:t>
      </w:r>
    </w:p>
    <w:p>
      <w:pPr>
        <w:spacing w:line="480" w:lineRule="auto"/>
        <w:ind w:firstLine="420"/>
        <w:jc w:val="both"/>
        <w:rPr>
          <w:sz w:val="21"/>
        </w:rPr>
      </w:pPr>
      <w:r>
        <w:rPr>
          <w:rFonts w:hint="eastAsia" w:ascii="宋体" w:hAnsi="宋体" w:eastAsia="宋体"/>
          <w:color w:val="000000"/>
          <w:sz w:val="21"/>
        </w:rPr>
        <w:t>主要工艺说明：</w:t>
      </w:r>
    </w:p>
    <w:p>
      <w:pPr>
        <w:spacing w:line="480" w:lineRule="auto"/>
        <w:ind w:firstLine="420"/>
        <w:jc w:val="both"/>
        <w:rPr>
          <w:sz w:val="21"/>
        </w:rPr>
      </w:pPr>
      <w:r>
        <w:rPr>
          <w:rFonts w:hint="eastAsia" w:ascii="宋体" w:hAnsi="宋体" w:eastAsia="宋体"/>
          <w:color w:val="000000"/>
          <w:sz w:val="21"/>
        </w:rPr>
        <w:t>1、购进原材料：本项目所用原料均为外购，包括免漆板、封边条及五金配件等。购进的原料存放在生产车间内部的原料储存区域。</w:t>
      </w:r>
    </w:p>
    <w:p>
      <w:pPr>
        <w:spacing w:line="480" w:lineRule="auto"/>
        <w:ind w:firstLine="420"/>
        <w:jc w:val="both"/>
        <w:rPr>
          <w:sz w:val="21"/>
        </w:rPr>
      </w:pPr>
      <w:r>
        <w:rPr>
          <w:rFonts w:hint="eastAsia" w:ascii="宋体" w:hAnsi="宋体" w:eastAsia="宋体"/>
          <w:color w:val="000000"/>
          <w:sz w:val="21"/>
        </w:rPr>
        <w:t>2、裁板：根据产品要求，使用裁板机将松木板、免漆板切割成一定规格，使用雕刻机在板材上雕刻纹饰等。</w:t>
      </w:r>
    </w:p>
    <w:p>
      <w:pPr>
        <w:spacing w:line="480" w:lineRule="auto"/>
        <w:ind w:firstLine="420"/>
        <w:jc w:val="both"/>
        <w:rPr>
          <w:sz w:val="21"/>
        </w:rPr>
      </w:pPr>
      <w:r>
        <w:rPr>
          <w:rFonts w:hint="eastAsia" w:ascii="宋体" w:hAnsi="宋体" w:eastAsia="宋体"/>
          <w:color w:val="000000"/>
          <w:sz w:val="21"/>
        </w:rPr>
        <w:t>3、排孔：经过裁板、封边过的板材按照产品要求进行钻孔等，成为衣柜组装的各类零部件。</w:t>
      </w:r>
    </w:p>
    <w:p>
      <w:pPr>
        <w:spacing w:line="480" w:lineRule="auto"/>
        <w:ind w:firstLine="420"/>
        <w:jc w:val="both"/>
        <w:rPr>
          <w:sz w:val="21"/>
        </w:rPr>
      </w:pPr>
      <w:r>
        <w:rPr>
          <w:rFonts w:hint="eastAsia" w:ascii="宋体" w:hAnsi="宋体" w:eastAsia="宋体"/>
          <w:color w:val="000000"/>
          <w:sz w:val="21"/>
        </w:rPr>
        <w:t>4、封边：对排过孔的板材使用封边扣板（利用卡扣）进行封边，封好边的板材进入下一步工序。</w:t>
      </w:r>
    </w:p>
    <w:p>
      <w:pPr>
        <w:spacing w:line="480" w:lineRule="auto"/>
        <w:ind w:firstLine="420"/>
        <w:jc w:val="both"/>
        <w:rPr>
          <w:sz w:val="21"/>
        </w:rPr>
        <w:sectPr>
          <w:headerReference r:id="rId23" w:type="default"/>
          <w:footerReference r:id="rId24" w:type="default"/>
          <w:type w:val="continuous"/>
          <w:pgSz w:w="11900" w:h="16820"/>
          <w:pgMar w:top="1680" w:right="1200" w:bottom="1200" w:left="1200" w:header="840" w:footer="600" w:gutter="0"/>
          <w:cols w:space="720" w:num="1"/>
        </w:sectPr>
      </w:pPr>
      <w:r>
        <w:rPr>
          <w:rFonts w:hint="eastAsia" w:ascii="宋体" w:hAnsi="宋体" w:eastAsia="宋体"/>
          <w:color w:val="000000"/>
          <w:sz w:val="21"/>
        </w:rPr>
        <w:t>5、组装：将封边后的板材零部件利用五金配件进行组装，组装好的成品经包装后由货车运送</w:t>
      </w:r>
    </w:p>
    <w:p>
      <w:pPr>
        <w:spacing w:line="456" w:lineRule="auto"/>
        <w:ind w:firstLine="0"/>
        <w:jc w:val="both"/>
        <w:rPr>
          <w:sz w:val="21"/>
        </w:rPr>
      </w:pPr>
      <w:r>
        <w:rPr>
          <w:rFonts w:hint="eastAsia" w:ascii="宋体" w:hAnsi="宋体" w:eastAsia="宋体"/>
          <w:color w:val="000000"/>
          <w:sz w:val="21"/>
        </w:rPr>
        <w:t>至客户。</w:t>
      </w:r>
    </w:p>
    <w:p>
      <w:pPr>
        <w:spacing w:line="456" w:lineRule="auto"/>
        <w:ind w:firstLine="0"/>
        <w:jc w:val="both"/>
        <w:rPr>
          <w:sz w:val="21"/>
        </w:rPr>
      </w:pPr>
      <w:r>
        <w:rPr>
          <w:rFonts w:hint="eastAsia" w:ascii="宋体" w:hAnsi="宋体" w:eastAsia="宋体"/>
          <w:color w:val="000000"/>
          <w:sz w:val="21"/>
        </w:rPr>
        <w:t>主要污染工序：</w:t>
      </w:r>
    </w:p>
    <w:p>
      <w:pPr>
        <w:spacing w:line="456" w:lineRule="auto"/>
        <w:ind w:firstLine="0"/>
        <w:jc w:val="both"/>
        <w:rPr>
          <w:sz w:val="21"/>
        </w:rPr>
      </w:pPr>
      <w:r>
        <w:rPr>
          <w:rFonts w:hint="eastAsia" w:ascii="宋体" w:hAnsi="宋体" w:eastAsia="宋体"/>
          <w:color w:val="000000"/>
          <w:sz w:val="21"/>
        </w:rPr>
        <w:t>1、废气</w:t>
      </w:r>
    </w:p>
    <w:p>
      <w:pPr>
        <w:spacing w:line="456" w:lineRule="auto"/>
        <w:ind w:firstLine="420"/>
        <w:jc w:val="both"/>
        <w:rPr>
          <w:sz w:val="21"/>
        </w:rPr>
      </w:pPr>
      <w:r>
        <w:rPr>
          <w:rFonts w:hint="eastAsia" w:ascii="宋体" w:hAnsi="宋体" w:eastAsia="宋体"/>
          <w:color w:val="000000"/>
          <w:sz w:val="21"/>
        </w:rPr>
        <w:t>营运期项目产生的废气主要为免漆木板在裁边、雕刻及打孔过程中产生的木屑粉尘，据其他同类型企业了解，裁边过程中粉尘产生量约为原料板的0.05％，打孔磨光过程中粉尘产生量约为原料板的0.02％，合计0.07％。本项目裁边、雕刻及打孔在一个厂房进行，项目板材用量约为77t／a，则粉尘的产生量约为0.054t／a（0.0245kg／h）。</w:t>
      </w:r>
    </w:p>
    <w:p>
      <w:pPr>
        <w:spacing w:line="456" w:lineRule="auto"/>
        <w:ind w:firstLine="420"/>
        <w:jc w:val="both"/>
        <w:rPr>
          <w:sz w:val="21"/>
        </w:rPr>
      </w:pPr>
      <w:r>
        <w:rPr>
          <w:rFonts w:hint="eastAsia" w:ascii="宋体" w:hAnsi="宋体" w:eastAsia="宋体"/>
          <w:color w:val="000000"/>
          <w:sz w:val="21"/>
        </w:rPr>
        <w:t>裁板、雕刻及打孔产生的粉尘拟采取集气罩收集后由引风机引至布袋除尘器进行处理的措施，最终由15m高排气筒外排。集气罩收集效率按80％计，布袋除尘器处理效率按90％计，风机设计风量为1000m3／h。</w:t>
      </w:r>
    </w:p>
    <w:p>
      <w:pPr>
        <w:spacing w:line="456" w:lineRule="auto"/>
        <w:ind w:firstLine="420"/>
        <w:jc w:val="both"/>
        <w:rPr>
          <w:sz w:val="21"/>
        </w:rPr>
      </w:pPr>
      <w:r>
        <w:rPr>
          <w:rFonts w:hint="eastAsia" w:ascii="宋体" w:hAnsi="宋体" w:eastAsia="宋体"/>
          <w:color w:val="000000"/>
          <w:sz w:val="21"/>
        </w:rPr>
        <w:t>采取以上措施后，粉尘产排情况详见表12。</w:t>
      </w:r>
    </w:p>
    <w:p>
      <w:pPr>
        <w:spacing w:line="456" w:lineRule="auto"/>
        <w:ind w:firstLine="420"/>
        <w:jc w:val="both"/>
        <w:rPr>
          <w:sz w:val="21"/>
        </w:rPr>
      </w:pPr>
      <w:r>
        <w:rPr>
          <w:rFonts w:hint="eastAsia" w:ascii="Calibri" w:hAnsi="Calibri" w:eastAsia="Calibri"/>
          <w:color w:val="000000"/>
          <w:sz w:val="21"/>
        </w:rPr>
        <w:t>表12               粉尘产排情况一览表</w:t>
      </w:r>
    </w:p>
    <w:tbl>
      <w:tblPr>
        <w:tblStyle w:val="2"/>
        <w:tblW w:w="90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130"/>
        <w:gridCol w:w="1009"/>
        <w:gridCol w:w="1150"/>
        <w:gridCol w:w="1150"/>
        <w:gridCol w:w="1271"/>
        <w:gridCol w:w="1009"/>
        <w:gridCol w:w="1170"/>
        <w:gridCol w:w="115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00" w:hRule="atLeast"/>
          <w:jc w:val="center"/>
        </w:trPr>
        <w:tc>
          <w:tcPr>
            <w:tcW w:w="11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排放形式</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产生量t/a</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产生速率kg/h</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产生浓度mg/m3</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处理措施</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排放量t/a</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排放速率kg/h</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排放浓度mg/m3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20" w:hRule="atLeast"/>
          <w:jc w:val="center"/>
        </w:trPr>
        <w:tc>
          <w:tcPr>
            <w:tcW w:w="11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有组织</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0.0432</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0.0196</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19.63</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集气罩＋布袋除尘器</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0.00432</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0.00196</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1.963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60" w:hRule="atLeast"/>
          <w:jc w:val="center"/>
        </w:trPr>
        <w:tc>
          <w:tcPr>
            <w:tcW w:w="11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无组织</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0.0108</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0.005</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厂房阻隔，处理效率按70%</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0.00324</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0.0015</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w:t>
            </w:r>
          </w:p>
        </w:tc>
      </w:tr>
    </w:tbl>
    <w:p>
      <w:pPr>
        <w:spacing w:line="456" w:lineRule="auto"/>
        <w:ind w:firstLine="420"/>
        <w:jc w:val="both"/>
        <w:rPr>
          <w:sz w:val="21"/>
        </w:rPr>
      </w:pPr>
      <w:r>
        <w:rPr>
          <w:rFonts w:hint="eastAsia" w:ascii="宋体" w:hAnsi="宋体" w:eastAsia="宋体"/>
          <w:color w:val="000000"/>
          <w:sz w:val="21"/>
        </w:rPr>
        <w:t>由表12可知，有组织粉尘排放速率为0.00196kg／h，排放浓度为1.963mg／m3，均可满足GB16297-1996《大气污染物综合排放标准》中颗粒物二级排放标准要求（排放速率0.35kg／h，排放浓度120mg／m3）。</w:t>
      </w:r>
    </w:p>
    <w:p>
      <w:pPr>
        <w:spacing w:line="456" w:lineRule="auto"/>
        <w:ind w:firstLine="0"/>
        <w:jc w:val="both"/>
        <w:rPr>
          <w:sz w:val="21"/>
        </w:rPr>
      </w:pPr>
      <w:r>
        <w:rPr>
          <w:rFonts w:hint="eastAsia" w:ascii="宋体" w:hAnsi="宋体" w:eastAsia="宋体"/>
          <w:color w:val="000000"/>
          <w:sz w:val="21"/>
        </w:rPr>
        <w:t>2、废水</w:t>
      </w:r>
    </w:p>
    <w:p>
      <w:pPr>
        <w:spacing w:line="456" w:lineRule="auto"/>
        <w:ind w:firstLine="420"/>
        <w:jc w:val="both"/>
        <w:rPr>
          <w:sz w:val="21"/>
        </w:rPr>
      </w:pPr>
      <w:r>
        <w:rPr>
          <w:rFonts w:hint="eastAsia" w:ascii="宋体" w:hAnsi="宋体" w:eastAsia="宋体"/>
          <w:color w:val="000000"/>
          <w:sz w:val="21"/>
        </w:rPr>
        <w:t>营运期废水主要为职工生活污水（洗漱废水），生活污水产生量约为79.2m3／a （0.288m3／d），全部排入经化粪池处理后，由企业定期清运，用于沤制农家肥。</w:t>
      </w:r>
    </w:p>
    <w:p>
      <w:pPr>
        <w:spacing w:line="456" w:lineRule="auto"/>
        <w:ind w:firstLine="0"/>
        <w:jc w:val="both"/>
        <w:rPr>
          <w:sz w:val="21"/>
        </w:rPr>
      </w:pPr>
      <w:r>
        <w:rPr>
          <w:rFonts w:hint="eastAsia" w:ascii="宋体" w:hAnsi="宋体" w:eastAsia="宋体"/>
          <w:color w:val="000000"/>
          <w:sz w:val="21"/>
        </w:rPr>
        <w:t>3、噪声</w:t>
      </w:r>
    </w:p>
    <w:p>
      <w:pPr>
        <w:spacing w:line="456" w:lineRule="auto"/>
        <w:ind w:firstLine="420"/>
        <w:jc w:val="both"/>
        <w:rPr>
          <w:sz w:val="21"/>
        </w:rPr>
        <w:sectPr>
          <w:footerReference r:id="rId25" w:type="default"/>
          <w:type w:val="continuous"/>
          <w:pgSz w:w="11900" w:h="16820"/>
          <w:pgMar w:top="1200" w:right="1200" w:bottom="2160" w:left="1200" w:header="600" w:footer="1080" w:gutter="0"/>
          <w:cols w:space="720" w:num="1"/>
        </w:sectPr>
      </w:pPr>
      <w:r>
        <w:rPr>
          <w:rFonts w:hint="eastAsia" w:ascii="宋体" w:hAnsi="宋体" w:eastAsia="宋体"/>
          <w:color w:val="000000"/>
          <w:sz w:val="21"/>
        </w:rPr>
        <w:t>营运期噪声主要来自开料机、裁板机、雕刻机、打孔机、精密锯等等。各设备主要噪声源强详见表13。</w:t>
      </w:r>
    </w:p>
    <w:p>
      <w:pPr>
        <w:spacing w:line="480" w:lineRule="auto"/>
        <w:ind w:firstLine="420"/>
        <w:jc w:val="both"/>
        <w:rPr>
          <w:sz w:val="21"/>
        </w:rPr>
      </w:pPr>
      <w:r>
        <w:rPr>
          <w:rFonts w:hint="eastAsia" w:ascii="Calibri" w:hAnsi="Calibri" w:eastAsia="Calibri"/>
          <w:color w:val="000000"/>
          <w:sz w:val="21"/>
        </w:rPr>
        <w:t>表13</w:t>
      </w:r>
    </w:p>
    <w:tbl>
      <w:tblPr>
        <w:tblStyle w:val="2"/>
        <w:tblW w:w="946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646"/>
        <w:gridCol w:w="1112"/>
        <w:gridCol w:w="1314"/>
        <w:gridCol w:w="1031"/>
        <w:gridCol w:w="1172"/>
        <w:gridCol w:w="2527"/>
        <w:gridCol w:w="16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6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序号</w:t>
            </w:r>
          </w:p>
        </w:tc>
        <w:tc>
          <w:tcPr>
            <w:tcW w:w="11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设备名称</w:t>
            </w:r>
          </w:p>
        </w:tc>
        <w:tc>
          <w:tcPr>
            <w:tcW w:w="13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所在车间</w:t>
            </w:r>
          </w:p>
        </w:tc>
        <w:tc>
          <w:tcPr>
            <w:tcW w:w="21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源强dB（A）</w:t>
            </w:r>
          </w:p>
        </w:tc>
        <w:tc>
          <w:tcPr>
            <w:tcW w:w="25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治理措施</w:t>
            </w:r>
          </w:p>
        </w:tc>
        <w:tc>
          <w:tcPr>
            <w:tcW w:w="16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备注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640" w:type="dxa"/>
            <w:vMerge w:val="continue"/>
            <w:tcBorders>
              <w:left w:val="single" w:color="000000" w:sz="4" w:space="0"/>
            </w:tcBorders>
          </w:tcPr>
          <w:p/>
        </w:tc>
        <w:tc>
          <w:tcPr>
            <w:tcW w:w="1100" w:type="dxa"/>
            <w:vMerge w:val="continue"/>
            <w:tcBorders>
              <w:left w:val="single" w:color="000000" w:sz="4" w:space="0"/>
            </w:tcBorders>
          </w:tcPr>
          <w:p/>
        </w:tc>
        <w:tc>
          <w:tcPr>
            <w:tcW w:w="1300" w:type="dxa"/>
            <w:vMerge w:val="continue"/>
            <w:tcBorders>
              <w:left w:val="single" w:color="000000" w:sz="4" w:space="0"/>
            </w:tcBorders>
          </w:tcPr>
          <w:p/>
        </w:tc>
        <w:tc>
          <w:tcPr>
            <w:tcW w:w="1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治理前</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治理后</w:t>
            </w:r>
          </w:p>
        </w:tc>
        <w:tc>
          <w:tcPr>
            <w:tcW w:w="2500" w:type="dxa"/>
            <w:vMerge w:val="continue"/>
            <w:tcBorders>
              <w:left w:val="single" w:color="000000" w:sz="4" w:space="0"/>
            </w:tcBorders>
          </w:tcPr>
          <w:p/>
        </w:tc>
        <w:tc>
          <w:tcPr>
            <w:tcW w:w="1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1</w:t>
            </w:r>
          </w:p>
        </w:tc>
        <w:tc>
          <w:tcPr>
            <w:tcW w:w="11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精密锯</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加工车间</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75</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50</w:t>
            </w:r>
          </w:p>
        </w:tc>
        <w:tc>
          <w:tcPr>
            <w:tcW w:w="2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室内隔声、基础减振</w:t>
            </w:r>
          </w:p>
        </w:tc>
        <w:tc>
          <w:tcPr>
            <w:tcW w:w="16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设备底部安装橡胶缓冲减震垫，每半年更换一次</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2</w:t>
            </w:r>
          </w:p>
        </w:tc>
        <w:tc>
          <w:tcPr>
            <w:tcW w:w="11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裁板机</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加工车间</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80</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60</w:t>
            </w:r>
          </w:p>
        </w:tc>
        <w:tc>
          <w:tcPr>
            <w:tcW w:w="2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室内隔声、基础减振</w:t>
            </w:r>
          </w:p>
        </w:tc>
        <w:tc>
          <w:tcPr>
            <w:tcW w:w="1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3</w:t>
            </w:r>
          </w:p>
        </w:tc>
        <w:tc>
          <w:tcPr>
            <w:tcW w:w="11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雕刻机</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加工车间</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75</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50</w:t>
            </w:r>
          </w:p>
        </w:tc>
        <w:tc>
          <w:tcPr>
            <w:tcW w:w="2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室内隔声、基础减振</w:t>
            </w:r>
          </w:p>
        </w:tc>
        <w:tc>
          <w:tcPr>
            <w:tcW w:w="1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4</w:t>
            </w:r>
          </w:p>
        </w:tc>
        <w:tc>
          <w:tcPr>
            <w:tcW w:w="11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打孔机</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加工车间</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80</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60</w:t>
            </w:r>
          </w:p>
        </w:tc>
        <w:tc>
          <w:tcPr>
            <w:tcW w:w="2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室内隔声、基础减振</w:t>
            </w:r>
          </w:p>
        </w:tc>
        <w:tc>
          <w:tcPr>
            <w:tcW w:w="1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5</w:t>
            </w:r>
          </w:p>
        </w:tc>
        <w:tc>
          <w:tcPr>
            <w:tcW w:w="11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冷压机</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加工车间</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80</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65</w:t>
            </w:r>
          </w:p>
        </w:tc>
        <w:tc>
          <w:tcPr>
            <w:tcW w:w="2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室内隔声、基础减振</w:t>
            </w:r>
          </w:p>
        </w:tc>
        <w:tc>
          <w:tcPr>
            <w:tcW w:w="1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w:t>
            </w:r>
          </w:p>
        </w:tc>
        <w:tc>
          <w:tcPr>
            <w:tcW w:w="11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开料机</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加工车间</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80</w:t>
            </w:r>
          </w:p>
        </w:tc>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60</w:t>
            </w:r>
          </w:p>
        </w:tc>
        <w:tc>
          <w:tcPr>
            <w:tcW w:w="2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室内隔声、基础减振</w:t>
            </w:r>
          </w:p>
        </w:tc>
        <w:tc>
          <w:tcPr>
            <w:tcW w:w="1640" w:type="dxa"/>
            <w:vMerge w:val="continue"/>
            <w:tcBorders>
              <w:left w:val="single" w:color="000000" w:sz="4" w:space="0"/>
            </w:tcBorders>
          </w:tcPr>
          <w:p/>
        </w:tc>
      </w:tr>
    </w:tbl>
    <w:p>
      <w:pPr>
        <w:spacing w:line="480" w:lineRule="auto"/>
        <w:ind w:firstLine="0"/>
        <w:jc w:val="both"/>
        <w:rPr>
          <w:sz w:val="21"/>
        </w:rPr>
      </w:pPr>
      <w:r>
        <w:rPr>
          <w:rFonts w:hint="eastAsia" w:ascii="宋体" w:hAnsi="宋体" w:eastAsia="宋体"/>
          <w:color w:val="000000"/>
          <w:sz w:val="21"/>
        </w:rPr>
        <w:t>4、固废</w:t>
      </w:r>
    </w:p>
    <w:p>
      <w:pPr>
        <w:spacing w:line="480" w:lineRule="auto"/>
        <w:ind w:firstLine="420"/>
        <w:jc w:val="both"/>
        <w:rPr>
          <w:sz w:val="21"/>
        </w:rPr>
      </w:pPr>
      <w:r>
        <w:rPr>
          <w:rFonts w:hint="eastAsia" w:ascii="宋体" w:hAnsi="宋体" w:eastAsia="宋体"/>
          <w:color w:val="000000"/>
          <w:sz w:val="21"/>
        </w:rPr>
        <w:t>营运期固废主要为职工生活垃圾、废边角料、除尘器收集的粉尘。</w:t>
      </w:r>
    </w:p>
    <w:p>
      <w:pPr>
        <w:spacing w:line="480" w:lineRule="auto"/>
        <w:ind w:firstLine="420"/>
        <w:jc w:val="both"/>
        <w:rPr>
          <w:sz w:val="21"/>
        </w:rPr>
      </w:pPr>
      <w:r>
        <w:rPr>
          <w:rFonts w:hint="eastAsia" w:ascii="宋体" w:hAnsi="宋体" w:eastAsia="宋体"/>
          <w:color w:val="000000"/>
          <w:sz w:val="21"/>
        </w:rPr>
        <w:t>①生活垃圾</w:t>
      </w:r>
    </w:p>
    <w:p>
      <w:pPr>
        <w:spacing w:line="480" w:lineRule="auto"/>
        <w:ind w:firstLine="420"/>
        <w:jc w:val="both"/>
        <w:rPr>
          <w:sz w:val="21"/>
        </w:rPr>
      </w:pPr>
      <w:r>
        <w:rPr>
          <w:rFonts w:hint="eastAsia" w:ascii="宋体" w:hAnsi="宋体" w:eastAsia="宋体"/>
          <w:color w:val="000000"/>
          <w:sz w:val="21"/>
        </w:rPr>
        <w:t>本项目劳动定员共12人，生活垃圾产生量按0.5kg／人·d计，则生活垃圾产生量约为6kg／d。</w:t>
      </w:r>
    </w:p>
    <w:p>
      <w:pPr>
        <w:spacing w:line="480" w:lineRule="auto"/>
        <w:ind w:firstLine="420"/>
        <w:jc w:val="both"/>
        <w:rPr>
          <w:sz w:val="21"/>
        </w:rPr>
      </w:pPr>
      <w:r>
        <w:rPr>
          <w:rFonts w:hint="eastAsia" w:ascii="宋体" w:hAnsi="宋体" w:eastAsia="宋体"/>
          <w:color w:val="000000"/>
          <w:sz w:val="21"/>
        </w:rPr>
        <w:t>②废边角料</w:t>
      </w:r>
    </w:p>
    <w:p>
      <w:pPr>
        <w:spacing w:line="480" w:lineRule="auto"/>
        <w:ind w:firstLine="420"/>
        <w:jc w:val="both"/>
        <w:rPr>
          <w:sz w:val="21"/>
        </w:rPr>
      </w:pPr>
      <w:r>
        <w:rPr>
          <w:rFonts w:hint="eastAsia" w:ascii="宋体" w:hAnsi="宋体" w:eastAsia="宋体"/>
          <w:color w:val="000000"/>
          <w:sz w:val="21"/>
        </w:rPr>
        <w:t>木料开料过程中将会产生废边角料。根据企业提供资料，废边角料产生量约为原料用量的1％。本项目木料用量约为77t／a，则废边角料产生量约为0.77t／a。</w:t>
      </w:r>
    </w:p>
    <w:p>
      <w:pPr>
        <w:spacing w:line="480" w:lineRule="auto"/>
        <w:ind w:firstLine="420"/>
        <w:jc w:val="both"/>
        <w:rPr>
          <w:sz w:val="21"/>
        </w:rPr>
      </w:pPr>
      <w:r>
        <w:rPr>
          <w:rFonts w:hint="eastAsia" w:ascii="宋体" w:hAnsi="宋体" w:eastAsia="宋体"/>
          <w:color w:val="000000"/>
          <w:sz w:val="21"/>
        </w:rPr>
        <w:t>③除尘器收集的粉尘</w:t>
      </w:r>
    </w:p>
    <w:p>
      <w:pPr>
        <w:spacing w:line="480" w:lineRule="auto"/>
        <w:ind w:firstLine="420"/>
        <w:jc w:val="both"/>
        <w:rPr>
          <w:sz w:val="21"/>
        </w:rPr>
        <w:sectPr>
          <w:footerReference r:id="rId26" w:type="default"/>
          <w:type w:val="continuous"/>
          <w:pgSz w:w="11900" w:h="16820"/>
          <w:pgMar w:top="1200" w:right="1200" w:bottom="2880" w:left="1200" w:header="600" w:footer="1440" w:gutter="0"/>
          <w:cols w:space="720" w:num="1"/>
        </w:sectPr>
      </w:pPr>
      <w:r>
        <w:rPr>
          <w:rFonts w:hint="eastAsia" w:ascii="宋体" w:hAnsi="宋体" w:eastAsia="宋体"/>
          <w:color w:val="000000"/>
          <w:sz w:val="21"/>
        </w:rPr>
        <w:t>加工车间设置布袋除尘器，回收木屑粉末约38.88kg／a．</w:t>
      </w:r>
    </w:p>
    <w:p>
      <w:pPr>
        <w:spacing w:line="216" w:lineRule="auto"/>
        <w:ind w:firstLine="0"/>
        <w:jc w:val="both"/>
        <w:rPr>
          <w:sz w:val="30"/>
        </w:rPr>
      </w:pPr>
      <w:r>
        <w:rPr>
          <w:rFonts w:hint="eastAsia" w:ascii="宋体" w:hAnsi="宋体" w:eastAsia="宋体"/>
          <w:color w:val="000000"/>
          <w:sz w:val="30"/>
        </w:rPr>
        <w:t>项目主要污染物产生及预计排放情况</w:t>
      </w:r>
    </w:p>
    <w:tbl>
      <w:tblPr>
        <w:tblStyle w:val="2"/>
        <w:tblW w:w="96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192"/>
        <w:gridCol w:w="1768"/>
        <w:gridCol w:w="678"/>
        <w:gridCol w:w="1028"/>
        <w:gridCol w:w="2487"/>
        <w:gridCol w:w="244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40" w:hRule="atLeast"/>
          <w:jc w:val="center"/>
        </w:trPr>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内容类型</w:t>
            </w:r>
          </w:p>
        </w:tc>
        <w:tc>
          <w:tcPr>
            <w:tcW w:w="1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排放源（编号）</w:t>
            </w:r>
          </w:p>
        </w:tc>
        <w:tc>
          <w:tcPr>
            <w:tcW w:w="16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污染物名称</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处理前产生量</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排放量</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1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大气污染物</w:t>
            </w:r>
          </w:p>
        </w:tc>
        <w:tc>
          <w:tcPr>
            <w:tcW w:w="172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生产车间</w:t>
            </w:r>
          </w:p>
        </w:tc>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sz w:val="21"/>
              </w:rPr>
            </w:pPr>
            <w:r>
              <w:rPr>
                <w:rFonts w:hint="eastAsia" w:ascii="宋体" w:hAnsi="宋体" w:eastAsia="宋体"/>
                <w:color w:val="000000"/>
                <w:sz w:val="21"/>
              </w:rPr>
              <w:t>粉尘</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有组织</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0.0432t/a</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0.00432t/a</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jc w:val="center"/>
        </w:trPr>
        <w:tc>
          <w:tcPr>
            <w:tcW w:w="1160" w:type="dxa"/>
            <w:vMerge w:val="continue"/>
            <w:tcBorders>
              <w:left w:val="single" w:color="000000" w:sz="4" w:space="0"/>
            </w:tcBorders>
          </w:tcPr>
          <w:p/>
        </w:tc>
        <w:tc>
          <w:tcPr>
            <w:tcW w:w="1720" w:type="dxa"/>
            <w:vMerge w:val="continue"/>
            <w:tcBorders>
              <w:left w:val="single" w:color="000000" w:sz="4" w:space="0"/>
            </w:tcBorders>
          </w:tcPr>
          <w:p/>
        </w:tc>
        <w:tc>
          <w:tcPr>
            <w:tcW w:w="660" w:type="dxa"/>
            <w:vMerge w:val="continue"/>
            <w:tcBorders>
              <w:left w:val="single" w:color="000000" w:sz="4" w:space="0"/>
            </w:tcBorders>
          </w:tcP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无组织</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0.0108t/a</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0.00324t/a</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80" w:hRule="atLeast"/>
          <w:jc w:val="center"/>
        </w:trPr>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水污染物</w:t>
            </w:r>
          </w:p>
        </w:tc>
        <w:tc>
          <w:tcPr>
            <w:tcW w:w="1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职工生活</w:t>
            </w:r>
          </w:p>
        </w:tc>
        <w:tc>
          <w:tcPr>
            <w:tcW w:w="16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生活污水</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79.2t/a</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1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固废</w:t>
            </w:r>
          </w:p>
        </w:tc>
        <w:tc>
          <w:tcPr>
            <w:tcW w:w="1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布袋除尘器</w:t>
            </w:r>
          </w:p>
        </w:tc>
        <w:tc>
          <w:tcPr>
            <w:tcW w:w="16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粉尘</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38.88kg/a</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jc w:val="center"/>
        </w:trPr>
        <w:tc>
          <w:tcPr>
            <w:tcW w:w="1160" w:type="dxa"/>
            <w:vMerge w:val="continue"/>
            <w:tcBorders>
              <w:left w:val="single" w:color="000000" w:sz="4" w:space="0"/>
            </w:tcBorders>
          </w:tcPr>
          <w:p/>
        </w:tc>
        <w:tc>
          <w:tcPr>
            <w:tcW w:w="1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职工生活</w:t>
            </w:r>
          </w:p>
        </w:tc>
        <w:tc>
          <w:tcPr>
            <w:tcW w:w="16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生活垃圾</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1.65t/a</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1.65t/a</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80" w:hRule="atLeast"/>
          <w:jc w:val="center"/>
        </w:trPr>
        <w:tc>
          <w:tcPr>
            <w:tcW w:w="1160" w:type="dxa"/>
            <w:vMerge w:val="continue"/>
            <w:tcBorders>
              <w:left w:val="single" w:color="000000" w:sz="4" w:space="0"/>
            </w:tcBorders>
          </w:tcPr>
          <w:p/>
        </w:tc>
        <w:tc>
          <w:tcPr>
            <w:tcW w:w="1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裁板、雕刻、排孔等工序</w:t>
            </w:r>
          </w:p>
        </w:tc>
        <w:tc>
          <w:tcPr>
            <w:tcW w:w="16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废边角料</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0.77t/a</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噪声</w:t>
            </w:r>
          </w:p>
        </w:tc>
        <w:tc>
          <w:tcPr>
            <w:tcW w:w="1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生产设备</w:t>
            </w:r>
          </w:p>
        </w:tc>
        <w:tc>
          <w:tcPr>
            <w:tcW w:w="16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噪声</w:t>
            </w:r>
          </w:p>
        </w:tc>
        <w:tc>
          <w:tcPr>
            <w:tcW w:w="2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70~80 dB(A)</w:t>
            </w:r>
          </w:p>
        </w:tc>
        <w:tc>
          <w:tcPr>
            <w:tcW w:w="23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50~60dB(A)</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860" w:hRule="atLeast"/>
          <w:jc w:val="center"/>
        </w:trPr>
        <w:tc>
          <w:tcPr>
            <w:tcW w:w="934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5"/>
              </w:rPr>
            </w:pPr>
            <w:r>
              <w:rPr>
                <w:rFonts w:hint="eastAsia" w:ascii="宋体" w:hAnsi="宋体" w:eastAsia="宋体"/>
                <w:color w:val="000000"/>
                <w:sz w:val="25"/>
              </w:rPr>
              <w:t>主要生态影响：本项目全部利用现有闲置厂房建设，施工期建设活动集中在厂房内部，不会对周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20" w:hRule="atLeast"/>
          <w:jc w:val="center"/>
        </w:trPr>
        <w:tc>
          <w:tcPr>
            <w:tcW w:w="934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边生态环境产生影响。营运期污染物主要为粉尘、设备噪声，在采取相应的治理措施</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80" w:hRule="atLeast"/>
          <w:jc w:val="center"/>
        </w:trPr>
        <w:tc>
          <w:tcPr>
            <w:tcW w:w="934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后，分别能够满足大气污染物综合排放标准》（GB16297-1996）表2二级标准限值、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34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《工业企业厂界环境噪声排放标准》（GB12348-2008）2类标准限值的要求，对生态</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140" w:hRule="atLeast"/>
          <w:jc w:val="center"/>
        </w:trPr>
        <w:tc>
          <w:tcPr>
            <w:tcW w:w="934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环境影响较小。</w:t>
            </w:r>
          </w:p>
        </w:tc>
      </w:tr>
    </w:tbl>
    <w:p>
      <w:pPr>
        <w:spacing w:line="1" w:lineRule="exact"/>
        <w:sectPr>
          <w:footerReference r:id="rId27" w:type="default"/>
          <w:type w:val="continuous"/>
          <w:pgSz w:w="11900" w:h="16820"/>
          <w:pgMar w:top="1200" w:right="2880" w:bottom="1200" w:left="2880" w:header="600" w:footer="600" w:gutter="0"/>
          <w:cols w:space="720" w:num="1"/>
        </w:sectPr>
      </w:pPr>
    </w:p>
    <w:p>
      <w:pPr>
        <w:spacing w:line="384" w:lineRule="auto"/>
        <w:ind w:firstLine="500"/>
        <w:jc w:val="both"/>
        <w:rPr>
          <w:sz w:val="25"/>
        </w:rPr>
      </w:pPr>
      <w:r>
        <w:rPr>
          <w:rFonts w:hint="eastAsia" w:ascii="宋体" w:hAnsi="宋体" w:eastAsia="宋体"/>
          <w:color w:val="000000"/>
          <w:sz w:val="25"/>
        </w:rPr>
        <w:t>本项目租用现有厂房，施工期活动主要为厂房内的设备安装，因此环境影响主要发生在营运期。</w:t>
      </w:r>
    </w:p>
    <w:p>
      <w:pPr>
        <w:spacing w:line="384" w:lineRule="auto"/>
        <w:ind w:firstLine="0"/>
        <w:jc w:val="both"/>
        <w:rPr>
          <w:sz w:val="25"/>
        </w:rPr>
      </w:pPr>
      <w:r>
        <w:rPr>
          <w:rFonts w:hint="eastAsia" w:ascii="宋体" w:hAnsi="宋体" w:eastAsia="宋体"/>
          <w:color w:val="000000"/>
          <w:sz w:val="25"/>
        </w:rPr>
        <w:t>营运期环境影响分析</w:t>
      </w:r>
    </w:p>
    <w:p>
      <w:pPr>
        <w:spacing w:line="384" w:lineRule="auto"/>
        <w:ind w:firstLine="0"/>
        <w:jc w:val="both"/>
        <w:rPr>
          <w:sz w:val="25"/>
        </w:rPr>
      </w:pPr>
      <w:r>
        <w:rPr>
          <w:rFonts w:hint="eastAsia" w:ascii="宋体" w:hAnsi="宋体" w:eastAsia="宋体"/>
          <w:color w:val="000000"/>
          <w:sz w:val="25"/>
        </w:rPr>
        <w:t>1、大气环境影响分析</w:t>
      </w:r>
    </w:p>
    <w:p>
      <w:pPr>
        <w:spacing w:line="384" w:lineRule="auto"/>
        <w:ind w:firstLine="500"/>
        <w:jc w:val="both"/>
        <w:rPr>
          <w:sz w:val="25"/>
        </w:rPr>
      </w:pPr>
      <w:r>
        <w:rPr>
          <w:rFonts w:hint="eastAsia" w:ascii="宋体" w:hAnsi="宋体" w:eastAsia="宋体"/>
          <w:color w:val="000000"/>
          <w:sz w:val="25"/>
        </w:rPr>
        <w:t>项目产生的废气主要为免漆木板、松木板在裁板、雕刻及打孔过程中产生的木屑粉尘。根据前述分析，木屑粉尘在采取布袋除尘器的处理措施后，有组织排放速率为0.00196kg／h，排放浓度为1.963mg／m3，均可满足GB16297-1996《大气污染物综合排放标准》中颗粒物二级排放标准要求（排放速率0.35kg／h，排放浓度120mg／m3）。木屑粉尘无组织排放量为0.00324t／a，排放速率为0.0015kg／h。</w:t>
      </w:r>
    </w:p>
    <w:p>
      <w:pPr>
        <w:spacing w:line="384" w:lineRule="auto"/>
        <w:ind w:firstLine="500"/>
        <w:jc w:val="both"/>
        <w:rPr>
          <w:sz w:val="25"/>
        </w:rPr>
      </w:pPr>
      <w:r>
        <w:rPr>
          <w:rFonts w:hint="eastAsia" w:ascii="宋体" w:hAnsi="宋体" w:eastAsia="宋体"/>
          <w:color w:val="000000"/>
          <w:sz w:val="25"/>
        </w:rPr>
        <w:t>评价采用估算模式对有组织粉尘及无组织粉尘产生的环境影响进行预测分析。</w:t>
      </w:r>
    </w:p>
    <w:p>
      <w:pPr>
        <w:spacing w:line="384" w:lineRule="auto"/>
        <w:ind w:firstLine="500"/>
        <w:jc w:val="both"/>
        <w:rPr>
          <w:sz w:val="25"/>
        </w:rPr>
      </w:pPr>
      <w:r>
        <w:rPr>
          <w:rFonts w:hint="eastAsia" w:ascii="宋体" w:hAnsi="宋体" w:eastAsia="宋体"/>
          <w:color w:val="000000"/>
          <w:sz w:val="25"/>
        </w:rPr>
        <w:t>①有组织粉尘影响预测分析</w:t>
      </w:r>
    </w:p>
    <w:p>
      <w:pPr>
        <w:spacing w:line="384" w:lineRule="auto"/>
        <w:ind w:firstLine="500"/>
        <w:jc w:val="both"/>
        <w:rPr>
          <w:sz w:val="25"/>
        </w:rPr>
      </w:pPr>
      <w:r>
        <w:rPr>
          <w:rFonts w:hint="eastAsia" w:ascii="宋体" w:hAnsi="宋体" w:eastAsia="宋体"/>
          <w:color w:val="000000"/>
          <w:sz w:val="25"/>
        </w:rPr>
        <w:t>采用估算模式进行计算，有组织粉尘预测结果详见表14。</w:t>
      </w:r>
    </w:p>
    <w:p>
      <w:pPr>
        <w:spacing w:line="384" w:lineRule="auto"/>
        <w:ind w:firstLine="500"/>
        <w:jc w:val="both"/>
        <w:rPr>
          <w:sz w:val="25"/>
        </w:rPr>
      </w:pPr>
      <w:r>
        <w:rPr>
          <w:rFonts w:hint="eastAsia" w:ascii="Calibri" w:hAnsi="Calibri" w:eastAsia="Calibri"/>
          <w:color w:val="000000"/>
          <w:sz w:val="25"/>
        </w:rPr>
        <w:t>表14             有组织粉尘影响分析预测结果一览表</w:t>
      </w:r>
    </w:p>
    <w:tbl>
      <w:tblPr>
        <w:tblStyle w:val="2"/>
        <w:tblW w:w="93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80"/>
        <w:gridCol w:w="2551"/>
        <w:gridCol w:w="3977"/>
        <w:gridCol w:w="27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20" w:hRule="atLeast"/>
          <w:jc w:val="center"/>
        </w:trPr>
        <w:tc>
          <w:tcPr>
            <w:tcW w:w="80" w:type="dxa"/>
            <w:vMerge w:val="restart"/>
            <w:tcBorders>
              <w:top w:val="single" w:color="000000" w:sz="4" w:space="0"/>
              <w:left w:val="single" w:color="000000" w:sz="4" w:space="0"/>
              <w:bottom w:val="single" w:color="000000" w:sz="4" w:space="0"/>
              <w:right w:val="single" w:color="000000" w:sz="4" w:space="0"/>
            </w:tcBorders>
            <w:vAlign w:val="center"/>
          </w:tcPr>
          <w:p/>
        </w:tc>
        <w:tc>
          <w:tcPr>
            <w:tcW w:w="25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宋体" w:hAnsi="宋体" w:eastAsia="宋体"/>
                <w:color w:val="000000"/>
                <w:sz w:val="20"/>
              </w:rPr>
              <w:t>距离（m）</w:t>
            </w:r>
          </w:p>
        </w:tc>
        <w:tc>
          <w:tcPr>
            <w:tcW w:w="67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预测结果</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80" w:type="dxa"/>
            <w:vMerge w:val="continue"/>
            <w:tcBorders>
              <w:left w:val="single" w:color="000000" w:sz="4" w:space="0"/>
            </w:tcBorders>
          </w:tcPr>
          <w:p/>
        </w:tc>
        <w:tc>
          <w:tcPr>
            <w:tcW w:w="2540" w:type="dxa"/>
            <w:vMerge w:val="continue"/>
            <w:tcBorders>
              <w:left w:val="single" w:color="000000" w:sz="4" w:space="0"/>
            </w:tcBorders>
          </w:tcP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18"/>
              </w:rPr>
            </w:pPr>
            <w:r>
              <w:rPr>
                <w:rFonts w:hint="eastAsia" w:ascii="宋体" w:hAnsi="宋体" w:eastAsia="宋体"/>
                <w:color w:val="000000"/>
                <w:sz w:val="18"/>
              </w:rPr>
              <w:t>预测浓度（mg／m3）</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宋体" w:hAnsi="宋体" w:eastAsia="宋体"/>
                <w:color w:val="000000"/>
                <w:sz w:val="20"/>
              </w:rPr>
              <w:t>占标率（％）</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10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2.488E-21</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100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0.0002237</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169</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0.0002491</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200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0.0002389</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300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0.0002215</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400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0.0001947</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500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0.0001847</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600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0.0001673</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700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0.0001662</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800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0.0001623</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900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0.0001548</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1000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0.0001458</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1100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0.0001362</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1200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0.000127</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1300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0.0001184</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1400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2"/>
              </w:rPr>
            </w:pPr>
            <w:r>
              <w:rPr>
                <w:rFonts w:hint="eastAsia" w:ascii="Calibri" w:hAnsi="Calibri" w:eastAsia="Calibri"/>
                <w:color w:val="000000"/>
                <w:sz w:val="22"/>
              </w:rPr>
              <w:t>0.0001105</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80" w:type="dxa"/>
            <w:vMerge w:val="continue"/>
            <w:tcBorders>
              <w:left w:val="single" w:color="000000" w:sz="4" w:space="0"/>
            </w:tcBorders>
          </w:tcPr>
          <w:p/>
        </w:tc>
        <w:tc>
          <w:tcPr>
            <w:tcW w:w="2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1500</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Calibri" w:hAnsi="Calibri" w:eastAsia="Calibri"/>
                <w:color w:val="000000"/>
                <w:sz w:val="21"/>
              </w:rPr>
              <w:t>0.0001032</w:t>
            </w:r>
          </w:p>
        </w:tc>
        <w:tc>
          <w:tcPr>
            <w:tcW w:w="2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bl>
    <w:p>
      <w:pPr>
        <w:spacing w:line="1" w:lineRule="exact"/>
        <w:sectPr>
          <w:headerReference r:id="rId28" w:type="default"/>
          <w:footerReference r:id="rId29" w:type="default"/>
          <w:type w:val="continuous"/>
          <w:pgSz w:w="11900" w:h="16820"/>
          <w:pgMar w:top="1680" w:right="1200" w:bottom="1200" w:left="1200" w:header="840" w:footer="600" w:gutter="0"/>
          <w:cols w:space="720" w:num="1"/>
        </w:sectPr>
      </w:pPr>
    </w:p>
    <w:tbl>
      <w:tblPr>
        <w:tblStyle w:val="2"/>
        <w:tblW w:w="93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2580"/>
        <w:gridCol w:w="3980"/>
        <w:gridCol w:w="27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1600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9.652E-5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1700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9.045E-5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1800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8.491E-5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1900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7.986E-5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2000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7.525E-5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2100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7.117E-5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2200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6.744E-5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2300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6.401E-5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2400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6.086E-5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2500</w:t>
            </w:r>
          </w:p>
        </w:tc>
        <w:tc>
          <w:tcPr>
            <w:tcW w:w="39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5.796E-5</w:t>
            </w:r>
          </w:p>
        </w:tc>
        <w:tc>
          <w:tcPr>
            <w:tcW w:w="27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0.01</w:t>
            </w:r>
          </w:p>
        </w:tc>
      </w:tr>
    </w:tbl>
    <w:p>
      <w:pPr>
        <w:spacing w:line="408" w:lineRule="auto"/>
        <w:ind w:firstLine="500"/>
        <w:jc w:val="both"/>
        <w:rPr>
          <w:sz w:val="25"/>
        </w:rPr>
      </w:pPr>
      <w:r>
        <w:rPr>
          <w:rFonts w:hint="eastAsia" w:ascii="宋体" w:hAnsi="宋体" w:eastAsia="宋体"/>
          <w:color w:val="000000"/>
          <w:sz w:val="25"/>
        </w:rPr>
        <w:t>由表14可知，有组织粉尘最大落地浓度为0.0002491mg／m3，对应占标率为0.03％，能够满足《环境空气质量标准》（GB 3095-2012）中TSP二级标准限值（300μg／m3）的要求。</w:t>
      </w:r>
    </w:p>
    <w:p>
      <w:pPr>
        <w:spacing w:line="408" w:lineRule="auto"/>
        <w:ind w:firstLine="500"/>
        <w:jc w:val="both"/>
        <w:rPr>
          <w:sz w:val="25"/>
        </w:rPr>
      </w:pPr>
      <w:r>
        <w:rPr>
          <w:rFonts w:hint="eastAsia" w:ascii="宋体" w:hAnsi="宋体" w:eastAsia="宋体"/>
          <w:color w:val="000000"/>
          <w:sz w:val="25"/>
        </w:rPr>
        <w:t>②无组织粉尘影响预测分析</w:t>
      </w:r>
    </w:p>
    <w:p>
      <w:pPr>
        <w:spacing w:line="408" w:lineRule="auto"/>
        <w:ind w:firstLine="500"/>
        <w:jc w:val="both"/>
        <w:rPr>
          <w:sz w:val="25"/>
        </w:rPr>
      </w:pPr>
      <w:r>
        <w:rPr>
          <w:rFonts w:hint="eastAsia" w:ascii="宋体" w:hAnsi="宋体" w:eastAsia="宋体"/>
          <w:color w:val="000000"/>
          <w:sz w:val="25"/>
        </w:rPr>
        <w:t>无组织排放粉尘排放参数详见表15。</w:t>
      </w:r>
    </w:p>
    <w:p>
      <w:pPr>
        <w:spacing w:line="408" w:lineRule="auto"/>
        <w:ind w:firstLine="500"/>
        <w:jc w:val="both"/>
        <w:rPr>
          <w:sz w:val="25"/>
        </w:rPr>
      </w:pPr>
      <w:r>
        <w:rPr>
          <w:rFonts w:hint="eastAsia" w:ascii="Calibri" w:hAnsi="Calibri" w:eastAsia="Calibri"/>
          <w:color w:val="000000"/>
          <w:sz w:val="25"/>
        </w:rPr>
        <w:t>表15             无组织废气排放参数一览表</w:t>
      </w:r>
    </w:p>
    <w:tbl>
      <w:tblPr>
        <w:tblStyle w:val="2"/>
        <w:tblW w:w="916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140"/>
        <w:gridCol w:w="1440"/>
        <w:gridCol w:w="1540"/>
        <w:gridCol w:w="1760"/>
        <w:gridCol w:w="1700"/>
        <w:gridCol w:w="158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项目</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污染物</w:t>
            </w:r>
          </w:p>
        </w:tc>
        <w:tc>
          <w:tcPr>
            <w:tcW w:w="15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排放速率kg／h</w:t>
            </w:r>
          </w:p>
        </w:tc>
        <w:tc>
          <w:tcPr>
            <w:tcW w:w="1760" w:type="dxa"/>
            <w:tcBorders>
              <w:top w:val="single" w:color="000000" w:sz="4" w:space="0"/>
              <w:left w:val="single" w:color="000000" w:sz="4" w:space="0"/>
              <w:bottom w:val="single" w:color="000000" w:sz="4" w:space="0"/>
              <w:right w:val="single" w:color="000000" w:sz="4" w:space="0"/>
            </w:tcBorders>
            <w:vAlign w:val="center"/>
          </w:tcPr>
          <w:p/>
        </w:tc>
        <w:tc>
          <w:tcPr>
            <w:tcW w:w="328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排放源参数（m）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140" w:type="dxa"/>
            <w:vMerge w:val="continue"/>
            <w:tcBorders>
              <w:left w:val="single" w:color="000000" w:sz="4" w:space="0"/>
            </w:tcBorders>
          </w:tcPr>
          <w:p/>
        </w:tc>
        <w:tc>
          <w:tcPr>
            <w:tcW w:w="1440" w:type="dxa"/>
            <w:vMerge w:val="continue"/>
            <w:tcBorders>
              <w:left w:val="single" w:color="000000" w:sz="4" w:space="0"/>
            </w:tcBorders>
          </w:tcPr>
          <w:p/>
        </w:tc>
        <w:tc>
          <w:tcPr>
            <w:tcW w:w="1540" w:type="dxa"/>
            <w:vMerge w:val="continue"/>
            <w:tcBorders>
              <w:left w:val="single" w:color="000000" w:sz="4" w:space="0"/>
            </w:tcBorders>
          </w:tcP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面源长度</w:t>
            </w:r>
          </w:p>
        </w:tc>
        <w:tc>
          <w:tcPr>
            <w:tcW w:w="1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面源宽度</w:t>
            </w:r>
          </w:p>
        </w:tc>
        <w:tc>
          <w:tcPr>
            <w:tcW w:w="1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面源高度</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生产车间</w:t>
            </w:r>
          </w:p>
        </w:tc>
        <w:tc>
          <w:tcPr>
            <w:tcW w:w="14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粉尘</w:t>
            </w:r>
          </w:p>
        </w:tc>
        <w:tc>
          <w:tcPr>
            <w:tcW w:w="15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0.0015</w:t>
            </w: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40</w:t>
            </w:r>
          </w:p>
        </w:tc>
        <w:tc>
          <w:tcPr>
            <w:tcW w:w="1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30</w:t>
            </w:r>
          </w:p>
        </w:tc>
        <w:tc>
          <w:tcPr>
            <w:tcW w:w="1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3</w:t>
            </w:r>
          </w:p>
        </w:tc>
      </w:tr>
    </w:tbl>
    <w:p>
      <w:pPr>
        <w:spacing w:line="408" w:lineRule="auto"/>
        <w:ind w:firstLine="500"/>
        <w:jc w:val="both"/>
        <w:rPr>
          <w:sz w:val="25"/>
        </w:rPr>
      </w:pPr>
      <w:r>
        <w:rPr>
          <w:rFonts w:hint="eastAsia" w:ascii="宋体" w:hAnsi="宋体" w:eastAsia="宋体"/>
          <w:color w:val="000000"/>
          <w:sz w:val="25"/>
        </w:rPr>
        <w:t>采用估算模式进行预测，预测结果见表16。</w:t>
      </w:r>
    </w:p>
    <w:p>
      <w:pPr>
        <w:spacing w:line="408" w:lineRule="auto"/>
        <w:ind w:firstLine="500"/>
        <w:jc w:val="both"/>
        <w:rPr>
          <w:sz w:val="25"/>
        </w:rPr>
      </w:pPr>
      <w:r>
        <w:rPr>
          <w:rFonts w:hint="eastAsia" w:ascii="Calibri" w:hAnsi="Calibri" w:eastAsia="Calibri"/>
          <w:color w:val="000000"/>
          <w:sz w:val="25"/>
        </w:rPr>
        <w:t>表16                无组织废气预测结果一览表</w:t>
      </w:r>
    </w:p>
    <w:tbl>
      <w:tblPr>
        <w:tblStyle w:val="2"/>
        <w:tblW w:w="92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2788"/>
        <w:gridCol w:w="3824"/>
        <w:gridCol w:w="262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20" w:hRule="atLeast"/>
          <w:jc w:val="center"/>
        </w:trPr>
        <w:tc>
          <w:tcPr>
            <w:tcW w:w="28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距源中心下风向距离（m）</w:t>
            </w:r>
          </w:p>
        </w:tc>
        <w:tc>
          <w:tcPr>
            <w:tcW w:w="3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8"/>
              </w:rPr>
            </w:pPr>
            <w:r>
              <w:rPr>
                <w:rFonts w:hint="eastAsia" w:ascii="宋体" w:hAnsi="宋体" w:eastAsia="宋体"/>
                <w:color w:val="000000"/>
                <w:sz w:val="18"/>
              </w:rPr>
              <w:t>浓度预测值（mg／m3）</w:t>
            </w:r>
          </w:p>
        </w:tc>
        <w:tc>
          <w:tcPr>
            <w:tcW w:w="2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8"/>
              </w:rPr>
            </w:pPr>
            <w:r>
              <w:rPr>
                <w:rFonts w:hint="eastAsia" w:ascii="宋体" w:hAnsi="宋体" w:eastAsia="宋体"/>
                <w:color w:val="000000"/>
                <w:sz w:val="18"/>
              </w:rPr>
              <w:t>排放标准（mg／m3）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28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西厂界</w:t>
            </w:r>
          </w:p>
        </w:tc>
        <w:tc>
          <w:tcPr>
            <w:tcW w:w="3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0.0008133</w:t>
            </w:r>
          </w:p>
        </w:tc>
        <w:tc>
          <w:tcPr>
            <w:tcW w:w="26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8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南厂界</w:t>
            </w:r>
          </w:p>
        </w:tc>
        <w:tc>
          <w:tcPr>
            <w:tcW w:w="3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0.0008133</w:t>
            </w:r>
          </w:p>
        </w:tc>
        <w:tc>
          <w:tcPr>
            <w:tcW w:w="2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8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北厂界</w:t>
            </w:r>
          </w:p>
        </w:tc>
        <w:tc>
          <w:tcPr>
            <w:tcW w:w="3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0.00105</w:t>
            </w:r>
          </w:p>
        </w:tc>
        <w:tc>
          <w:tcPr>
            <w:tcW w:w="2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8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东厂界</w:t>
            </w:r>
          </w:p>
        </w:tc>
        <w:tc>
          <w:tcPr>
            <w:tcW w:w="3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0.002282</w:t>
            </w:r>
          </w:p>
        </w:tc>
        <w:tc>
          <w:tcPr>
            <w:tcW w:w="26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jc w:val="center"/>
        </w:trPr>
        <w:tc>
          <w:tcPr>
            <w:tcW w:w="28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最大落地浓度</w:t>
            </w:r>
          </w:p>
        </w:tc>
        <w:tc>
          <w:tcPr>
            <w:tcW w:w="3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0.002334</w:t>
            </w:r>
          </w:p>
        </w:tc>
        <w:tc>
          <w:tcPr>
            <w:tcW w:w="2640" w:type="dxa"/>
            <w:tcBorders>
              <w:top w:val="single" w:color="000000" w:sz="4" w:space="0"/>
              <w:left w:val="single" w:color="000000" w:sz="4" w:space="0"/>
              <w:bottom w:val="single" w:color="000000" w:sz="4" w:space="0"/>
              <w:right w:val="single" w:color="000000" w:sz="4" w:space="0"/>
            </w:tcBorders>
            <w:vAlign w:val="center"/>
          </w:tcPr>
          <w:p/>
        </w:tc>
      </w:tr>
    </w:tbl>
    <w:p>
      <w:pPr>
        <w:spacing w:line="408" w:lineRule="auto"/>
        <w:ind w:firstLine="500"/>
        <w:jc w:val="both"/>
        <w:rPr>
          <w:sz w:val="25"/>
        </w:rPr>
        <w:sectPr>
          <w:footerReference r:id="rId30" w:type="default"/>
          <w:type w:val="continuous"/>
          <w:pgSz w:w="11900" w:h="16820"/>
          <w:pgMar w:top="960" w:right="1200" w:bottom="2160" w:left="1200" w:header="480" w:footer="1080" w:gutter="0"/>
          <w:cols w:space="720" w:num="1"/>
        </w:sectPr>
      </w:pPr>
      <w:r>
        <w:rPr>
          <w:rFonts w:hint="eastAsia" w:ascii="宋体" w:hAnsi="宋体" w:eastAsia="宋体"/>
          <w:color w:val="000000"/>
          <w:sz w:val="25"/>
        </w:rPr>
        <w:t>由表16可知：各厂界粉尘无组织排放浓度均能满足《大气污染物综合排放标准》（GB16297-1996）表2二级标准限值要求；无组织粉尘最大落地浓度为0.002334mg／m3，能够满足《环境空气质量标准》（GB 3095-2012）TSP二级标准限值（300μg／m3）的要求。</w:t>
      </w:r>
    </w:p>
    <w:tbl>
      <w:tblPr>
        <w:tblStyle w:val="2"/>
        <w:tblW w:w="96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47"/>
        <w:gridCol w:w="1202"/>
        <w:gridCol w:w="823"/>
        <w:gridCol w:w="591"/>
        <w:gridCol w:w="190"/>
        <w:gridCol w:w="717"/>
        <w:gridCol w:w="780"/>
        <w:gridCol w:w="190"/>
        <w:gridCol w:w="591"/>
        <w:gridCol w:w="759"/>
        <w:gridCol w:w="190"/>
        <w:gridCol w:w="485"/>
        <w:gridCol w:w="738"/>
        <w:gridCol w:w="422"/>
        <w:gridCol w:w="802"/>
        <w:gridCol w:w="101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96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③大气环境防护距离根据《环境影响评价技术导则 大气环境》（HJ2.2-2008）要求，对于本项目无组</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织排放的废气需计算防护距离，采用附录A推荐模式清单中的A．3大气环境防护距离</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8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计算模式，各计算参数表17。表17       大气防护距离计算结果</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40" w:type="dxa"/>
            <w:vMerge w:val="restart"/>
            <w:tcBorders>
              <w:top w:val="single" w:color="000000" w:sz="4" w:space="0"/>
              <w:left w:val="single" w:color="000000" w:sz="4" w:space="0"/>
              <w:bottom w:val="single" w:color="000000" w:sz="4" w:space="0"/>
              <w:right w:val="single" w:color="000000" w:sz="4" w:space="0"/>
            </w:tcBorders>
            <w:vAlign w:val="center"/>
          </w:tc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位置</w:t>
            </w:r>
          </w:p>
        </w:tc>
        <w:tc>
          <w:tcPr>
            <w:tcW w:w="7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污染物</w:t>
            </w:r>
          </w:p>
        </w:tc>
        <w:tc>
          <w:tcPr>
            <w:tcW w:w="234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面源参数</w:t>
            </w:r>
          </w:p>
        </w:tc>
        <w:tc>
          <w:tcPr>
            <w:tcW w:w="4740"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排放情况</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140" w:type="dxa"/>
            <w:vMerge w:val="continue"/>
            <w:tcBorders>
              <w:left w:val="single" w:color="000000" w:sz="4" w:space="0"/>
            </w:tcBorders>
          </w:tcPr>
          <w:p/>
        </w:tc>
        <w:tc>
          <w:tcPr>
            <w:tcW w:w="1140" w:type="dxa"/>
            <w:vMerge w:val="continue"/>
            <w:tcBorders>
              <w:left w:val="single" w:color="000000" w:sz="4" w:space="0"/>
            </w:tcBorders>
          </w:tcPr>
          <w:p/>
        </w:tc>
        <w:tc>
          <w:tcPr>
            <w:tcW w:w="780" w:type="dxa"/>
            <w:vMerge w:val="continue"/>
            <w:tcBorders>
              <w:left w:val="single" w:color="000000" w:sz="4" w:space="0"/>
            </w:tcBorders>
          </w:tcPr>
          <w:p/>
        </w:tc>
        <w:tc>
          <w:tcPr>
            <w:tcW w:w="74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长m</w:t>
            </w:r>
          </w:p>
        </w:tc>
        <w:tc>
          <w:tcPr>
            <w:tcW w:w="6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宽m</w:t>
            </w:r>
          </w:p>
        </w:tc>
        <w:tc>
          <w:tcPr>
            <w:tcW w:w="9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高度m</w:t>
            </w:r>
          </w:p>
        </w:tc>
        <w:tc>
          <w:tcPr>
            <w:tcW w:w="146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宋体" w:hAnsi="宋体" w:eastAsia="宋体"/>
                <w:color w:val="000000"/>
                <w:sz w:val="20"/>
              </w:rPr>
              <w:t>排放速率kg／h</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标准值mg／m3</w:t>
            </w:r>
          </w:p>
        </w:tc>
        <w:tc>
          <w:tcPr>
            <w:tcW w:w="17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计算结果</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40" w:type="dxa"/>
            <w:vMerge w:val="continue"/>
            <w:tcBorders>
              <w:left w:val="single" w:color="000000" w:sz="4" w:space="0"/>
            </w:tcBorders>
          </w:tcP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生产车间</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粉尘</w:t>
            </w:r>
          </w:p>
        </w:tc>
        <w:tc>
          <w:tcPr>
            <w:tcW w:w="74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40</w:t>
            </w:r>
          </w:p>
        </w:tc>
        <w:tc>
          <w:tcPr>
            <w:tcW w:w="6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30</w:t>
            </w:r>
          </w:p>
        </w:tc>
        <w:tc>
          <w:tcPr>
            <w:tcW w:w="9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3</w:t>
            </w:r>
          </w:p>
        </w:tc>
        <w:tc>
          <w:tcPr>
            <w:tcW w:w="146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0.0015</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1.0</w:t>
            </w:r>
          </w:p>
        </w:tc>
        <w:tc>
          <w:tcPr>
            <w:tcW w:w="17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无超标点</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2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经计算，确定本项目无组织排放颗粒物无超标点，无需设置大气环境防护距离。</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4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④卫生防护距离本项目无组织排放粉尘，应根据《制定地方大气污染物排放标准的技术方法》</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（GB／T13201-91）中有害气体无组织排放控制与工业企业卫生防护距离标准的制定方</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54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法计算卫生防护距离。计算公式如下：</w:t>
            </w:r>
          </w:p>
          <w:p>
            <w:pPr>
              <w:spacing w:line="240" w:lineRule="auto"/>
              <w:ind w:firstLine="520"/>
              <w:jc w:val="both"/>
              <w:rPr>
                <w:sz w:val="26"/>
              </w:rPr>
            </w:pPr>
            <w:r>
              <w:drawing>
                <wp:inline distT="0" distB="0" distL="0" distR="0">
                  <wp:extent cx="1841500" cy="3937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72" cstate="print"/>
                          <a:stretch>
                            <a:fillRect/>
                          </a:stretch>
                        </pic:blipFill>
                        <pic:spPr>
                          <a:xfrm>
                            <a:off x="1000" y="1000"/>
                            <a:ext cx="1841500" cy="393700"/>
                          </a:xfrm>
                          <a:prstGeom prst="rect">
                            <a:avLst/>
                          </a:prstGeom>
                        </pic:spPr>
                      </pic:pic>
                    </a:graphicData>
                  </a:graphic>
                </wp:inline>
              </w:drawing>
            </w:r>
          </w:p>
          <w:p>
            <w:pPr>
              <w:spacing w:line="240" w:lineRule="auto"/>
              <w:ind w:firstLine="520"/>
              <w:jc w:val="both"/>
              <w:rPr>
                <w:sz w:val="26"/>
              </w:rPr>
            </w:pPr>
            <w:r>
              <w:rPr>
                <w:rFonts w:hint="eastAsia" w:ascii="宋体" w:hAnsi="宋体" w:eastAsia="宋体"/>
                <w:color w:val="000000"/>
                <w:sz w:val="26"/>
              </w:rPr>
              <w:t>式中：  标准浓度限值，mg／m3</w:t>
            </w:r>
            <w:r>
              <w:drawing>
                <wp:inline distT="0" distB="0" distL="0" distR="0">
                  <wp:extent cx="63500" cy="1397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73" cstate="print"/>
                          <a:stretch>
                            <a:fillRect/>
                          </a:stretch>
                        </pic:blipFill>
                        <pic:spPr>
                          <a:xfrm>
                            <a:off x="1000" y="1000"/>
                            <a:ext cx="63500" cy="139700"/>
                          </a:xfrm>
                          <a:prstGeom prst="rect">
                            <a:avLst/>
                          </a:prstGeom>
                        </pic:spPr>
                      </pic:pic>
                    </a:graphicData>
                  </a:graphic>
                </wp:inline>
              </w:drawing>
            </w:r>
          </w:p>
          <w:p>
            <w:pPr>
              <w:spacing w:line="240" w:lineRule="auto"/>
              <w:ind w:firstLine="520"/>
              <w:jc w:val="both"/>
              <w:rPr>
                <w:sz w:val="26"/>
              </w:rPr>
            </w:pPr>
            <w:r>
              <w:rPr>
                <w:rFonts w:hint="eastAsia" w:ascii="宋体" w:hAnsi="宋体" w:eastAsia="宋体"/>
                <w:color w:val="000000"/>
                <w:sz w:val="26"/>
              </w:rPr>
              <w:t>L-工业企业所需卫生防护距离，指无组织排放源所在的生产单元（生产</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2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区、车间或工段）与居住区之间的距离，m；r-有害气体无组织排放源所在生产单元的等效半径，m。根据该生产单</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2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380"/>
              <w:jc w:val="both"/>
              <w:rPr>
                <w:sz w:val="19"/>
              </w:rPr>
            </w:pPr>
            <w:r>
              <w:rPr>
                <w:rFonts w:hint="eastAsia" w:ascii="宋体" w:hAnsi="宋体" w:eastAsia="宋体"/>
                <w:color w:val="000000"/>
                <w:sz w:val="19"/>
              </w:rPr>
              <w:t>元占地面积S（㎡）计算，r＝（S／π）0.5；A、B、C、D-卫生防护距离计算系数，无因次，根据工业企业所在地区</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520"/>
              <w:jc w:val="both"/>
              <w:rPr>
                <w:sz w:val="26"/>
              </w:rPr>
            </w:pPr>
            <w:r>
              <w:rPr>
                <w:rFonts w:hint="eastAsia" w:ascii="宋体" w:hAnsi="宋体" w:eastAsia="宋体"/>
                <w:color w:val="000000"/>
                <w:sz w:val="26"/>
              </w:rPr>
              <w:t>近五年平均风速及工业企业大气污染物构成类别从《制定地方大气污染物排放标准的</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120" w:hRule="atLeast"/>
          <w:jc w:val="center"/>
        </w:trPr>
        <w:tc>
          <w:tcPr>
            <w:tcW w:w="9140" w:type="dxa"/>
            <w:gridSpan w:val="16"/>
            <w:tcBorders>
              <w:top w:val="single" w:color="000000" w:sz="4" w:space="0"/>
              <w:left w:val="single" w:color="000000" w:sz="4" w:space="0"/>
              <w:bottom w:val="single" w:color="000000" w:sz="4" w:space="0"/>
              <w:right w:val="single" w:color="000000" w:sz="4" w:space="0"/>
            </w:tcBorders>
            <w:vAlign w:val="center"/>
          </w:tcPr>
          <w:p>
            <w:pPr>
              <w:spacing w:line="240" w:lineRule="auto"/>
              <w:ind w:firstLine="460"/>
              <w:jc w:val="both"/>
              <w:rPr>
                <w:sz w:val="23"/>
              </w:rPr>
            </w:pPr>
            <w:r>
              <w:rPr>
                <w:rFonts w:hint="eastAsia" w:ascii="Calibri" w:hAnsi="Calibri" w:eastAsia="Calibri"/>
                <w:color w:val="000000"/>
                <w:sz w:val="23"/>
              </w:rPr>
              <w:t>技术方法》（GB／T13201-91）表5中查取；</w:t>
            </w:r>
          </w:p>
          <w:p>
            <w:pPr>
              <w:spacing w:line="240" w:lineRule="auto"/>
              <w:ind w:firstLine="520"/>
              <w:jc w:val="both"/>
              <w:rPr>
                <w:sz w:val="26"/>
              </w:rPr>
            </w:pPr>
            <w:r>
              <w:rPr>
                <w:rFonts w:hint="eastAsia" w:ascii="宋体" w:hAnsi="宋体" w:eastAsia="宋体"/>
                <w:color w:val="000000"/>
                <w:sz w:val="26"/>
              </w:rPr>
              <w:t>Qc 工业企业有害气体无组织排放量可以达到的控制水平，kg／h。</w:t>
            </w:r>
          </w:p>
          <w:p>
            <w:pPr>
              <w:spacing w:line="240" w:lineRule="auto"/>
              <w:ind w:firstLine="520"/>
              <w:jc w:val="both"/>
              <w:rPr>
                <w:sz w:val="26"/>
              </w:rPr>
            </w:pPr>
            <w:r>
              <w:rPr>
                <w:rFonts w:hint="eastAsia" w:ascii="宋体" w:hAnsi="宋体" w:eastAsia="宋体"/>
                <w:color w:val="000000"/>
                <w:sz w:val="26"/>
              </w:rPr>
              <w:t>卫生防护距离计算所用参数取值及结果见表18。</w:t>
            </w:r>
          </w:p>
          <w:p>
            <w:pPr>
              <w:spacing w:line="240" w:lineRule="auto"/>
              <w:ind w:firstLine="520"/>
              <w:jc w:val="both"/>
              <w:rPr>
                <w:sz w:val="26"/>
              </w:rPr>
            </w:pPr>
            <w:r>
              <w:rPr>
                <w:rFonts w:hint="eastAsia" w:ascii="宋体" w:hAnsi="宋体" w:eastAsia="宋体"/>
                <w:color w:val="000000"/>
                <w:sz w:val="26"/>
              </w:rPr>
              <w:t>表18        卫生防护距离计算结果表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40" w:type="dxa"/>
            <w:vMerge w:val="restart"/>
            <w:tcBorders>
              <w:top w:val="single" w:color="000000" w:sz="4" w:space="0"/>
              <w:left w:val="single" w:color="000000" w:sz="4" w:space="0"/>
              <w:bottom w:val="single" w:color="000000" w:sz="4" w:space="0"/>
              <w:right w:val="single" w:color="000000" w:sz="4" w:space="0"/>
            </w:tcBorders>
            <w:vAlign w:val="center"/>
          </w:tc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污染源</w:t>
            </w:r>
          </w:p>
        </w:tc>
        <w:tc>
          <w:tcPr>
            <w:tcW w:w="1340"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污染物</w:t>
            </w:r>
          </w:p>
        </w:tc>
        <w:tc>
          <w:tcPr>
            <w:tcW w:w="16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项目所在地平均</w:t>
            </w:r>
          </w:p>
        </w:tc>
        <w:tc>
          <w:tcPr>
            <w:tcW w:w="740"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A</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B</w:t>
            </w:r>
          </w:p>
        </w:tc>
        <w:tc>
          <w:tcPr>
            <w:tcW w:w="640"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C</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D</w:t>
            </w:r>
          </w:p>
        </w:tc>
        <w:tc>
          <w:tcPr>
            <w:tcW w:w="1160"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Cm (mg/m3)</w:t>
            </w:r>
          </w:p>
        </w:tc>
        <w:tc>
          <w:tcPr>
            <w:tcW w:w="9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宋体" w:hAnsi="宋体" w:eastAsia="宋体"/>
                <w:color w:val="000000"/>
                <w:sz w:val="22"/>
              </w:rPr>
              <w:t>计算结果m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140" w:type="dxa"/>
            <w:vMerge w:val="continue"/>
            <w:tcBorders>
              <w:left w:val="single" w:color="000000" w:sz="4" w:space="0"/>
            </w:tcBorders>
          </w:tcPr>
          <w:p/>
        </w:tc>
        <w:tc>
          <w:tcPr>
            <w:tcW w:w="1140" w:type="dxa"/>
            <w:vMerge w:val="continue"/>
            <w:tcBorders>
              <w:left w:val="single" w:color="000000" w:sz="4" w:space="0"/>
            </w:tcBorders>
          </w:tcPr>
          <w:p/>
        </w:tc>
        <w:tc>
          <w:tcPr>
            <w:tcW w:w="1340" w:type="dxa"/>
            <w:gridSpan w:val="2"/>
            <w:vMerge w:val="continue"/>
            <w:tcBorders>
              <w:left w:val="single" w:color="000000" w:sz="4" w:space="0"/>
            </w:tcBorders>
          </w:tcPr>
          <w:p/>
        </w:tc>
        <w:tc>
          <w:tcPr>
            <w:tcW w:w="16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8"/>
              </w:rPr>
            </w:pPr>
            <w:r>
              <w:rPr>
                <w:rFonts w:hint="eastAsia" w:ascii="Calibri" w:hAnsi="Calibri" w:eastAsia="Calibri"/>
                <w:color w:val="000000"/>
                <w:sz w:val="18"/>
              </w:rPr>
              <w:t>风速（m／s）</w:t>
            </w:r>
          </w:p>
        </w:tc>
        <w:tc>
          <w:tcPr>
            <w:tcW w:w="740" w:type="dxa"/>
            <w:gridSpan w:val="2"/>
            <w:vMerge w:val="continue"/>
            <w:tcBorders>
              <w:left w:val="single" w:color="000000" w:sz="4" w:space="0"/>
            </w:tcBorders>
          </w:tcPr>
          <w:p/>
        </w:tc>
        <w:tc>
          <w:tcPr>
            <w:tcW w:w="720" w:type="dxa"/>
            <w:vMerge w:val="continue"/>
            <w:tcBorders>
              <w:left w:val="single" w:color="000000" w:sz="4" w:space="0"/>
            </w:tcBorders>
          </w:tcPr>
          <w:p/>
        </w:tc>
        <w:tc>
          <w:tcPr>
            <w:tcW w:w="640" w:type="dxa"/>
            <w:gridSpan w:val="2"/>
            <w:vMerge w:val="continue"/>
            <w:tcBorders>
              <w:left w:val="single" w:color="000000" w:sz="4" w:space="0"/>
            </w:tcBorders>
          </w:tcPr>
          <w:p/>
        </w:tc>
        <w:tc>
          <w:tcPr>
            <w:tcW w:w="700" w:type="dxa"/>
            <w:vMerge w:val="continue"/>
            <w:tcBorders>
              <w:left w:val="single" w:color="000000" w:sz="4" w:space="0"/>
            </w:tcBorders>
          </w:tcPr>
          <w:p/>
        </w:tc>
        <w:tc>
          <w:tcPr>
            <w:tcW w:w="1160" w:type="dxa"/>
            <w:gridSpan w:val="2"/>
            <w:vMerge w:val="continue"/>
            <w:tcBorders>
              <w:left w:val="single" w:color="000000" w:sz="4" w:space="0"/>
            </w:tcBorders>
          </w:tcPr>
          <w:p/>
        </w:tc>
        <w:tc>
          <w:tcPr>
            <w:tcW w:w="96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20" w:hRule="atLeast"/>
          <w:jc w:val="center"/>
        </w:trPr>
        <w:tc>
          <w:tcPr>
            <w:tcW w:w="140" w:type="dxa"/>
            <w:vMerge w:val="continue"/>
            <w:tcBorders>
              <w:left w:val="single" w:color="000000" w:sz="4" w:space="0"/>
            </w:tcBorders>
          </w:tcPr>
          <w:p/>
        </w:tc>
        <w:tc>
          <w:tcPr>
            <w:tcW w:w="11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生产车间</w:t>
            </w:r>
          </w:p>
        </w:tc>
        <w:tc>
          <w:tcPr>
            <w:tcW w:w="134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宋体" w:hAnsi="宋体" w:eastAsia="宋体"/>
                <w:color w:val="000000"/>
                <w:sz w:val="26"/>
              </w:rPr>
              <w:t>粉尘</w:t>
            </w:r>
          </w:p>
        </w:tc>
        <w:tc>
          <w:tcPr>
            <w:tcW w:w="160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3.2</w:t>
            </w:r>
          </w:p>
        </w:tc>
        <w:tc>
          <w:tcPr>
            <w:tcW w:w="74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470</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0.021</w:t>
            </w:r>
          </w:p>
        </w:tc>
        <w:tc>
          <w:tcPr>
            <w:tcW w:w="64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1.85</w:t>
            </w:r>
          </w:p>
        </w:tc>
        <w:tc>
          <w:tcPr>
            <w:tcW w:w="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2"/>
              </w:rPr>
            </w:pPr>
            <w:r>
              <w:rPr>
                <w:rFonts w:hint="eastAsia" w:ascii="Calibri" w:hAnsi="Calibri" w:eastAsia="Calibri"/>
                <w:color w:val="000000"/>
                <w:sz w:val="22"/>
              </w:rPr>
              <w:t>0.84</w:t>
            </w:r>
          </w:p>
        </w:tc>
        <w:tc>
          <w:tcPr>
            <w:tcW w:w="11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0.45</w:t>
            </w:r>
          </w:p>
        </w:tc>
        <w:tc>
          <w:tcPr>
            <w:tcW w:w="9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6"/>
              </w:rPr>
            </w:pPr>
            <w:r>
              <w:rPr>
                <w:rFonts w:hint="eastAsia" w:ascii="Calibri" w:hAnsi="Calibri" w:eastAsia="Calibri"/>
                <w:color w:val="000000"/>
                <w:sz w:val="26"/>
              </w:rPr>
              <w:t>0.05</w:t>
            </w:r>
          </w:p>
        </w:tc>
      </w:tr>
    </w:tbl>
    <w:p>
      <w:pPr>
        <w:spacing w:line="1" w:lineRule="exact"/>
        <w:sectPr>
          <w:footerReference r:id="rId31" w:type="default"/>
          <w:type w:val="continuous"/>
          <w:pgSz w:w="11900" w:h="16820"/>
          <w:pgMar w:top="960" w:right="1200" w:bottom="1200" w:left="1200" w:header="480" w:footer="600" w:gutter="0"/>
          <w:cols w:space="720" w:num="1"/>
        </w:sectPr>
      </w:pPr>
    </w:p>
    <w:p>
      <w:pPr>
        <w:spacing w:line="408" w:lineRule="auto"/>
        <w:ind w:firstLine="480"/>
        <w:jc w:val="both"/>
        <w:rPr>
          <w:sz w:val="24"/>
        </w:rPr>
      </w:pPr>
      <w:r>
        <w:rPr>
          <w:rFonts w:hint="eastAsia" w:ascii="宋体" w:hAnsi="宋体" w:eastAsia="宋体"/>
          <w:color w:val="000000"/>
          <w:sz w:val="24"/>
        </w:rPr>
        <w:t>由表18可知，本项目卫生防护距离在50m以内。根据《制定地方大气污染物排放标准的技术方法》（GB／T 13201-91）中卫生防护距离级差要求，生产车间需设置50m 的卫生防护距离。</w:t>
      </w:r>
    </w:p>
    <w:p>
      <w:pPr>
        <w:spacing w:line="408" w:lineRule="auto"/>
        <w:ind w:firstLine="480"/>
        <w:jc w:val="both"/>
        <w:rPr>
          <w:sz w:val="24"/>
        </w:rPr>
      </w:pPr>
      <w:r>
        <w:rPr>
          <w:rFonts w:hint="eastAsia" w:ascii="宋体" w:hAnsi="宋体" w:eastAsia="宋体"/>
          <w:color w:val="000000"/>
          <w:sz w:val="24"/>
        </w:rPr>
        <w:t>根据现场调查，生产车间卫生防护距离包络区域内无学校、医院、村庄（居住区）等敏感点。</w:t>
      </w:r>
    </w:p>
    <w:p>
      <w:pPr>
        <w:spacing w:line="408" w:lineRule="auto"/>
        <w:ind w:firstLine="0"/>
        <w:jc w:val="both"/>
        <w:rPr>
          <w:sz w:val="24"/>
        </w:rPr>
      </w:pPr>
      <w:r>
        <w:rPr>
          <w:rFonts w:hint="eastAsia" w:ascii="宋体" w:hAnsi="宋体" w:eastAsia="宋体"/>
          <w:color w:val="000000"/>
          <w:sz w:val="24"/>
        </w:rPr>
        <w:t>2、声环境影响分析</w:t>
      </w:r>
    </w:p>
    <w:p>
      <w:pPr>
        <w:spacing w:line="408" w:lineRule="auto"/>
        <w:ind w:firstLine="0"/>
        <w:jc w:val="both"/>
        <w:rPr>
          <w:sz w:val="24"/>
        </w:rPr>
      </w:pPr>
      <w:r>
        <w:rPr>
          <w:rFonts w:hint="eastAsia" w:ascii="宋体" w:hAnsi="宋体" w:eastAsia="宋体"/>
          <w:color w:val="000000"/>
          <w:sz w:val="24"/>
        </w:rPr>
        <w:t>2.1噪声源强</w:t>
      </w:r>
    </w:p>
    <w:p>
      <w:pPr>
        <w:spacing w:line="408" w:lineRule="auto"/>
        <w:ind w:firstLine="480"/>
        <w:jc w:val="both"/>
        <w:rPr>
          <w:sz w:val="24"/>
        </w:rPr>
      </w:pPr>
      <w:r>
        <w:rPr>
          <w:rFonts w:hint="eastAsia" w:ascii="宋体" w:hAnsi="宋体" w:eastAsia="宋体"/>
          <w:color w:val="000000"/>
          <w:sz w:val="24"/>
        </w:rPr>
        <w:t>营运期噪声主要为各种生产设备的运转噪声，其噪声源强一般在70～80dB（A）之间，项目噪声源及控制措施见表19。</w:t>
      </w:r>
    </w:p>
    <w:p>
      <w:pPr>
        <w:spacing w:line="408" w:lineRule="auto"/>
        <w:ind w:firstLine="480"/>
        <w:jc w:val="both"/>
        <w:rPr>
          <w:sz w:val="24"/>
        </w:rPr>
      </w:pPr>
      <w:r>
        <w:rPr>
          <w:rFonts w:hint="eastAsia" w:ascii="Calibri" w:hAnsi="Calibri" w:eastAsia="Calibri"/>
          <w:color w:val="000000"/>
          <w:sz w:val="24"/>
        </w:rPr>
        <w:t>表19                 主要生产设备噪声源强一览表</w:t>
      </w:r>
    </w:p>
    <w:tbl>
      <w:tblPr>
        <w:tblStyle w:val="2"/>
        <w:tblW w:w="91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700"/>
        <w:gridCol w:w="1200"/>
        <w:gridCol w:w="1420"/>
        <w:gridCol w:w="860"/>
        <w:gridCol w:w="860"/>
        <w:gridCol w:w="2580"/>
        <w:gridCol w:w="156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序号</w:t>
            </w:r>
          </w:p>
        </w:tc>
        <w:tc>
          <w:tcPr>
            <w:tcW w:w="12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设备名称</w:t>
            </w:r>
          </w:p>
        </w:tc>
        <w:tc>
          <w:tcPr>
            <w:tcW w:w="142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所在车间</w:t>
            </w:r>
          </w:p>
        </w:tc>
        <w:tc>
          <w:tcPr>
            <w:tcW w:w="17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19"/>
              </w:rPr>
            </w:pPr>
            <w:r>
              <w:rPr>
                <w:rFonts w:hint="eastAsia" w:ascii="Calibri" w:hAnsi="Calibri" w:eastAsia="Calibri"/>
                <w:color w:val="000000"/>
                <w:sz w:val="19"/>
              </w:rPr>
              <w:t>源强dB（A）</w:t>
            </w:r>
          </w:p>
        </w:tc>
        <w:tc>
          <w:tcPr>
            <w:tcW w:w="25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治理措施</w:t>
            </w:r>
          </w:p>
        </w:tc>
        <w:tc>
          <w:tcPr>
            <w:tcW w:w="15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备注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700" w:type="dxa"/>
            <w:vMerge w:val="continue"/>
            <w:tcBorders>
              <w:left w:val="single" w:color="000000" w:sz="4" w:space="0"/>
            </w:tcBorders>
          </w:tcPr>
          <w:p/>
        </w:tc>
        <w:tc>
          <w:tcPr>
            <w:tcW w:w="1200" w:type="dxa"/>
            <w:vMerge w:val="continue"/>
            <w:tcBorders>
              <w:left w:val="single" w:color="000000" w:sz="4" w:space="0"/>
            </w:tcBorders>
          </w:tcPr>
          <w:p/>
        </w:tc>
        <w:tc>
          <w:tcPr>
            <w:tcW w:w="1420" w:type="dxa"/>
            <w:vMerge w:val="continue"/>
            <w:tcBorders>
              <w:left w:val="single" w:color="000000" w:sz="4" w:space="0"/>
            </w:tcBorders>
          </w:tcP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治理前</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治理后</w:t>
            </w:r>
          </w:p>
        </w:tc>
        <w:tc>
          <w:tcPr>
            <w:tcW w:w="2580" w:type="dxa"/>
            <w:vMerge w:val="continue"/>
            <w:tcBorders>
              <w:left w:val="single" w:color="000000" w:sz="4" w:space="0"/>
            </w:tcBorders>
          </w:tcPr>
          <w:p/>
        </w:tc>
        <w:tc>
          <w:tcPr>
            <w:tcW w:w="156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1</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精密锯</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加工车间</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75</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50</w:t>
            </w: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室内隔声、基础减振</w:t>
            </w:r>
          </w:p>
        </w:tc>
        <w:tc>
          <w:tcPr>
            <w:tcW w:w="15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设备底部安装橡胶缓冲减震垫，每一半年更换一次</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2</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裁板机</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加工车间</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80</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60</w:t>
            </w: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室内隔声、基础减振</w:t>
            </w:r>
          </w:p>
        </w:tc>
        <w:tc>
          <w:tcPr>
            <w:tcW w:w="156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3</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雕刻机</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加工车间</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75</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50</w:t>
            </w: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室内隔声、基础减振</w:t>
            </w:r>
          </w:p>
        </w:tc>
        <w:tc>
          <w:tcPr>
            <w:tcW w:w="156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4</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打孔机</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加工车间</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80</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60</w:t>
            </w: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室内隔声、基础减振</w:t>
            </w:r>
          </w:p>
        </w:tc>
        <w:tc>
          <w:tcPr>
            <w:tcW w:w="156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5</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冷压机</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加工车间</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80</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65</w:t>
            </w: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室内隔声、基础减振</w:t>
            </w:r>
          </w:p>
        </w:tc>
        <w:tc>
          <w:tcPr>
            <w:tcW w:w="156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7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6</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开料机</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加工车间</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80</w:t>
            </w:r>
          </w:p>
        </w:tc>
        <w:tc>
          <w:tcPr>
            <w:tcW w:w="8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Calibri" w:hAnsi="Calibri" w:eastAsia="Calibri"/>
                <w:color w:val="000000"/>
                <w:sz w:val="24"/>
              </w:rPr>
              <w:t>60</w:t>
            </w:r>
          </w:p>
        </w:tc>
        <w:tc>
          <w:tcPr>
            <w:tcW w:w="25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室内隔声、基础减振</w:t>
            </w:r>
          </w:p>
        </w:tc>
        <w:tc>
          <w:tcPr>
            <w:tcW w:w="1560" w:type="dxa"/>
            <w:vMerge w:val="continue"/>
            <w:tcBorders>
              <w:left w:val="single" w:color="000000" w:sz="4" w:space="0"/>
            </w:tcBorders>
          </w:tcPr>
          <w:p/>
        </w:tc>
      </w:tr>
    </w:tbl>
    <w:p>
      <w:pPr>
        <w:spacing w:line="408" w:lineRule="auto"/>
        <w:ind w:firstLine="0"/>
        <w:jc w:val="both"/>
        <w:rPr>
          <w:sz w:val="24"/>
        </w:rPr>
      </w:pPr>
      <w:r>
        <w:rPr>
          <w:rFonts w:hint="eastAsia" w:ascii="宋体" w:hAnsi="宋体" w:eastAsia="宋体"/>
          <w:color w:val="000000"/>
          <w:sz w:val="24"/>
        </w:rPr>
        <w:t>2.2 预测模式</w:t>
      </w:r>
    </w:p>
    <w:p>
      <w:pPr>
        <w:spacing w:line="408" w:lineRule="auto"/>
        <w:ind w:firstLine="480"/>
        <w:jc w:val="both"/>
        <w:rPr>
          <w:sz w:val="24"/>
        </w:rPr>
      </w:pPr>
      <w:r>
        <w:rPr>
          <w:rFonts w:hint="eastAsia" w:ascii="宋体" w:hAnsi="宋体" w:eastAsia="宋体"/>
          <w:color w:val="000000"/>
          <w:sz w:val="24"/>
        </w:rPr>
        <w:t>根据生产设备噪声特点，采用《环境影响评价技术导则一声环境》（HJ2.4-2009）中的点声源衰减模式进行噪声预测。衰减模式如下：</w:t>
      </w:r>
    </w:p>
    <w:p>
      <w:pPr>
        <w:spacing w:line="408" w:lineRule="auto"/>
        <w:ind w:firstLine="480"/>
        <w:jc w:val="both"/>
        <w:rPr>
          <w:sz w:val="24"/>
        </w:rPr>
      </w:pPr>
      <w:r>
        <w:drawing>
          <wp:inline distT="0" distB="0" distL="0" distR="0">
            <wp:extent cx="685800" cy="1778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74" cstate="print"/>
                    <a:stretch>
                      <a:fillRect/>
                    </a:stretch>
                  </pic:blipFill>
                  <pic:spPr>
                    <a:xfrm>
                      <a:off x="1000" y="1000"/>
                      <a:ext cx="685800" cy="177800"/>
                    </a:xfrm>
                    <a:prstGeom prst="rect">
                      <a:avLst/>
                    </a:prstGeom>
                  </pic:spPr>
                </pic:pic>
              </a:graphicData>
            </a:graphic>
          </wp:inline>
        </w:drawing>
      </w:r>
      <w:r>
        <w:drawing>
          <wp:inline distT="0" distB="0" distL="0" distR="0">
            <wp:extent cx="1155700" cy="1778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pic:cNvPicPr>
                  </pic:nvPicPr>
                  <pic:blipFill>
                    <a:blip r:embed="rId75" cstate="print"/>
                    <a:stretch>
                      <a:fillRect/>
                    </a:stretch>
                  </pic:blipFill>
                  <pic:spPr>
                    <a:xfrm>
                      <a:off x="1000" y="1000"/>
                      <a:ext cx="1155700" cy="177800"/>
                    </a:xfrm>
                    <a:prstGeom prst="rect">
                      <a:avLst/>
                    </a:prstGeom>
                  </pic:spPr>
                </pic:pic>
              </a:graphicData>
            </a:graphic>
          </wp:inline>
        </w:drawing>
      </w:r>
    </w:p>
    <w:p>
      <w:pPr>
        <w:spacing w:line="408" w:lineRule="auto"/>
        <w:ind w:firstLine="480"/>
        <w:jc w:val="both"/>
        <w:rPr>
          <w:sz w:val="24"/>
        </w:rPr>
      </w:pPr>
      <w:r>
        <w:rPr>
          <w:rFonts w:hint="eastAsia" w:ascii="宋体" w:hAnsi="宋体" w:eastAsia="宋体"/>
          <w:color w:val="000000"/>
          <w:sz w:val="24"/>
        </w:rPr>
        <w:t>式中：LA（r）--距离声源r处的A声级，dB（A）；</w:t>
      </w:r>
    </w:p>
    <w:p>
      <w:pPr>
        <w:spacing w:line="408" w:lineRule="auto"/>
        <w:ind w:firstLine="480"/>
        <w:jc w:val="both"/>
        <w:rPr>
          <w:sz w:val="24"/>
        </w:rPr>
      </w:pPr>
      <w:r>
        <w:rPr>
          <w:rFonts w:hint="eastAsia" w:ascii="Calibri" w:hAnsi="Calibri" w:eastAsia="Calibri"/>
          <w:color w:val="000000"/>
          <w:sz w:val="24"/>
        </w:rPr>
        <w:t>（ro）--距离声源ro处的A声级，dB（A）；</w:t>
      </w:r>
    </w:p>
    <w:p>
      <w:pPr>
        <w:spacing w:line="408" w:lineRule="auto"/>
        <w:ind w:firstLine="480"/>
        <w:jc w:val="both"/>
        <w:rPr>
          <w:sz w:val="24"/>
        </w:rPr>
      </w:pPr>
      <w:r>
        <w:rPr>
          <w:rFonts w:hint="eastAsia" w:ascii="宋体" w:hAnsi="宋体" w:eastAsia="宋体"/>
          <w:color w:val="000000"/>
          <w:sz w:val="24"/>
        </w:rPr>
        <w:t>r-距声源的距离，m；</w:t>
      </w:r>
    </w:p>
    <w:p>
      <w:pPr>
        <w:spacing w:line="408" w:lineRule="auto"/>
        <w:ind w:firstLine="480"/>
        <w:jc w:val="both"/>
        <w:rPr>
          <w:sz w:val="24"/>
        </w:rPr>
      </w:pPr>
      <w:r>
        <w:rPr>
          <w:rFonts w:hint="eastAsia" w:ascii="宋体" w:hAnsi="宋体" w:eastAsia="宋体"/>
          <w:color w:val="000000"/>
          <w:sz w:val="24"/>
        </w:rPr>
        <w:t>ro--距声源的距离，m；</w:t>
      </w:r>
    </w:p>
    <w:p>
      <w:pPr>
        <w:spacing w:line="408" w:lineRule="auto"/>
        <w:ind w:firstLine="480"/>
        <w:jc w:val="both"/>
        <w:rPr>
          <w:sz w:val="24"/>
        </w:rPr>
      </w:pPr>
      <w:r>
        <w:rPr>
          <w:rFonts w:hint="eastAsia" w:ascii="宋体" w:hAnsi="宋体" w:eastAsia="宋体"/>
          <w:color w:val="000000"/>
          <w:sz w:val="24"/>
        </w:rPr>
        <w:t>声源叠加公式：</w:t>
      </w:r>
    </w:p>
    <w:p>
      <w:pPr>
        <w:spacing w:line="408" w:lineRule="auto"/>
        <w:ind w:firstLine="480"/>
        <w:jc w:val="both"/>
        <w:rPr>
          <w:sz w:val="24"/>
        </w:rPr>
      </w:pPr>
      <w:r>
        <w:drawing>
          <wp:inline distT="0" distB="0" distL="0" distR="0">
            <wp:extent cx="762000" cy="3683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pic:cNvPicPr>
                  </pic:nvPicPr>
                  <pic:blipFill>
                    <a:blip r:embed="rId76" cstate="print"/>
                    <a:stretch>
                      <a:fillRect/>
                    </a:stretch>
                  </pic:blipFill>
                  <pic:spPr>
                    <a:xfrm>
                      <a:off x="1000" y="1000"/>
                      <a:ext cx="762000" cy="368300"/>
                    </a:xfrm>
                    <a:prstGeom prst="rect">
                      <a:avLst/>
                    </a:prstGeom>
                  </pic:spPr>
                </pic:pic>
              </a:graphicData>
            </a:graphic>
          </wp:inline>
        </w:drawing>
      </w:r>
    </w:p>
    <w:p>
      <w:pPr>
        <w:spacing w:line="408" w:lineRule="auto"/>
        <w:ind w:firstLine="480"/>
        <w:jc w:val="both"/>
        <w:rPr>
          <w:sz w:val="24"/>
        </w:rPr>
      </w:pPr>
      <w:r>
        <w:rPr>
          <w:rFonts w:hint="eastAsia" w:ascii="宋体" w:hAnsi="宋体" w:eastAsia="宋体"/>
          <w:color w:val="000000"/>
          <w:sz w:val="24"/>
        </w:rPr>
        <w:t>式中：L-受声点处的总声级，dE</w:t>
      </w:r>
      <w:r>
        <w:drawing>
          <wp:inline distT="0" distB="0" distL="0" distR="0">
            <wp:extent cx="431800" cy="1524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pic:cNvPicPr>
                  </pic:nvPicPr>
                  <pic:blipFill>
                    <a:blip r:embed="rId77" cstate="print"/>
                    <a:stretch>
                      <a:fillRect/>
                    </a:stretch>
                  </pic:blipFill>
                  <pic:spPr>
                    <a:xfrm>
                      <a:off x="1000" y="1000"/>
                      <a:ext cx="431800" cy="152400"/>
                    </a:xfrm>
                    <a:prstGeom prst="rect">
                      <a:avLst/>
                    </a:prstGeom>
                  </pic:spPr>
                </pic:pic>
              </a:graphicData>
            </a:graphic>
          </wp:inline>
        </w:drawing>
      </w:r>
    </w:p>
    <w:p>
      <w:pPr>
        <w:spacing w:line="408" w:lineRule="auto"/>
        <w:ind w:firstLine="480"/>
        <w:jc w:val="both"/>
        <w:rPr>
          <w:sz w:val="24"/>
        </w:rPr>
        <w:sectPr>
          <w:footerReference r:id="rId32" w:type="default"/>
          <w:type w:val="continuous"/>
          <w:pgSz w:w="11900" w:h="16820"/>
          <w:pgMar w:top="1200" w:right="1200" w:bottom="1200" w:left="1200" w:header="600" w:footer="600" w:gutter="0"/>
          <w:cols w:space="720" w:num="1"/>
        </w:sectPr>
      </w:pPr>
      <w:r>
        <w:rPr>
          <w:rFonts w:hint="eastAsia" w:ascii="宋体" w:hAnsi="宋体" w:eastAsia="宋体"/>
          <w:color w:val="000000"/>
          <w:sz w:val="24"/>
        </w:rPr>
        <w:t>Pi-第i个噪声源声压级，dB（A）；</w:t>
      </w:r>
    </w:p>
    <w:p>
      <w:pPr>
        <w:spacing w:line="384" w:lineRule="auto"/>
        <w:ind w:firstLine="500"/>
        <w:jc w:val="both"/>
        <w:rPr>
          <w:sz w:val="25"/>
        </w:rPr>
      </w:pPr>
      <w:r>
        <w:rPr>
          <w:rFonts w:hint="eastAsia" w:ascii="宋体" w:hAnsi="宋体" w:eastAsia="宋体"/>
          <w:color w:val="000000"/>
          <w:sz w:val="25"/>
        </w:rPr>
        <w:t>n-噪声源总数。</w:t>
      </w:r>
    </w:p>
    <w:p>
      <w:pPr>
        <w:spacing w:line="384" w:lineRule="auto"/>
        <w:ind w:firstLine="500"/>
        <w:jc w:val="both"/>
        <w:rPr>
          <w:sz w:val="25"/>
        </w:rPr>
      </w:pPr>
      <w:r>
        <w:rPr>
          <w:rFonts w:hint="eastAsia" w:ascii="宋体" w:hAnsi="宋体" w:eastAsia="宋体"/>
          <w:color w:val="000000"/>
          <w:sz w:val="25"/>
        </w:rPr>
        <w:t>各厂界噪声预测结果详见表20。</w:t>
      </w:r>
    </w:p>
    <w:p>
      <w:pPr>
        <w:spacing w:line="384" w:lineRule="auto"/>
        <w:ind w:firstLine="500"/>
        <w:jc w:val="both"/>
        <w:rPr>
          <w:sz w:val="25"/>
        </w:rPr>
      </w:pPr>
      <w:r>
        <w:rPr>
          <w:rFonts w:hint="eastAsia" w:ascii="Calibri" w:hAnsi="Calibri" w:eastAsia="Calibri"/>
          <w:color w:val="000000"/>
          <w:sz w:val="25"/>
        </w:rPr>
        <w:t>表20            项目厂界噪声预测结果一览表</w:t>
      </w:r>
    </w:p>
    <w:tbl>
      <w:tblPr>
        <w:tblStyle w:val="2"/>
        <w:tblW w:w="936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3020"/>
        <w:gridCol w:w="3300"/>
        <w:gridCol w:w="30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jc w:val="center"/>
        </w:trPr>
        <w:tc>
          <w:tcPr>
            <w:tcW w:w="302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厂界</w:t>
            </w:r>
          </w:p>
        </w:tc>
        <w:tc>
          <w:tcPr>
            <w:tcW w:w="33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贡献值</w:t>
            </w:r>
          </w:p>
        </w:tc>
        <w:tc>
          <w:tcPr>
            <w:tcW w:w="30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标准值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3020" w:type="dxa"/>
            <w:vMerge w:val="continue"/>
            <w:tcBorders>
              <w:left w:val="single" w:color="000000" w:sz="4" w:space="0"/>
            </w:tcBorders>
          </w:tcPr>
          <w:p/>
        </w:tc>
        <w:tc>
          <w:tcPr>
            <w:tcW w:w="3300" w:type="dxa"/>
            <w:vMerge w:val="continue"/>
            <w:tcBorders>
              <w:left w:val="single" w:color="000000" w:sz="4" w:space="0"/>
            </w:tcBorders>
          </w:tcPr>
          <w:p/>
        </w:tc>
        <w:tc>
          <w:tcPr>
            <w:tcW w:w="30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昼间</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3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北厂界</w:t>
            </w:r>
          </w:p>
        </w:tc>
        <w:tc>
          <w:tcPr>
            <w:tcW w:w="3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52.1</w:t>
            </w:r>
          </w:p>
        </w:tc>
        <w:tc>
          <w:tcPr>
            <w:tcW w:w="30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60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3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西厂界</w:t>
            </w:r>
          </w:p>
        </w:tc>
        <w:tc>
          <w:tcPr>
            <w:tcW w:w="3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53.9</w:t>
            </w:r>
          </w:p>
        </w:tc>
        <w:tc>
          <w:tcPr>
            <w:tcW w:w="30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20" w:hRule="atLeast"/>
          <w:jc w:val="center"/>
        </w:trPr>
        <w:tc>
          <w:tcPr>
            <w:tcW w:w="3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南厂界</w:t>
            </w:r>
          </w:p>
        </w:tc>
        <w:tc>
          <w:tcPr>
            <w:tcW w:w="3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51.4</w:t>
            </w:r>
          </w:p>
        </w:tc>
        <w:tc>
          <w:tcPr>
            <w:tcW w:w="30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00" w:hRule="atLeast"/>
          <w:jc w:val="center"/>
        </w:trPr>
        <w:tc>
          <w:tcPr>
            <w:tcW w:w="30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东厂界</w:t>
            </w:r>
          </w:p>
        </w:tc>
        <w:tc>
          <w:tcPr>
            <w:tcW w:w="3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Calibri" w:hAnsi="Calibri" w:eastAsia="Calibri"/>
                <w:color w:val="000000"/>
                <w:sz w:val="25"/>
              </w:rPr>
              <w:t>41.2</w:t>
            </w:r>
          </w:p>
        </w:tc>
        <w:tc>
          <w:tcPr>
            <w:tcW w:w="304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360"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备注：本项目夜间不生产。</w:t>
            </w:r>
          </w:p>
        </w:tc>
      </w:tr>
    </w:tbl>
    <w:p>
      <w:pPr>
        <w:spacing w:line="384" w:lineRule="auto"/>
        <w:ind w:firstLine="500"/>
        <w:jc w:val="both"/>
        <w:rPr>
          <w:sz w:val="25"/>
        </w:rPr>
      </w:pPr>
      <w:r>
        <w:rPr>
          <w:rFonts w:hint="eastAsia" w:ascii="宋体" w:hAnsi="宋体" w:eastAsia="宋体"/>
          <w:color w:val="000000"/>
          <w:sz w:val="25"/>
        </w:rPr>
        <w:t>由表20可知，营运期东、南、西、北四个厂界噪声能够满足《工业企业厂界环境噪声排放标准》（GB12348-2008）昼间2类标准限值的要求。</w:t>
      </w:r>
    </w:p>
    <w:p>
      <w:pPr>
        <w:spacing w:line="384" w:lineRule="auto"/>
        <w:ind w:firstLine="0"/>
        <w:jc w:val="both"/>
        <w:rPr>
          <w:sz w:val="25"/>
        </w:rPr>
      </w:pPr>
      <w:r>
        <w:rPr>
          <w:rFonts w:hint="eastAsia" w:ascii="宋体" w:hAnsi="宋体" w:eastAsia="宋体"/>
          <w:color w:val="000000"/>
          <w:sz w:val="25"/>
        </w:rPr>
        <w:t>3、废水环境影响分析</w:t>
      </w:r>
    </w:p>
    <w:p>
      <w:pPr>
        <w:spacing w:line="384" w:lineRule="auto"/>
        <w:ind w:firstLine="500"/>
        <w:jc w:val="both"/>
        <w:rPr>
          <w:sz w:val="25"/>
        </w:rPr>
      </w:pPr>
      <w:r>
        <w:rPr>
          <w:rFonts w:hint="eastAsia" w:ascii="宋体" w:hAnsi="宋体" w:eastAsia="宋体"/>
          <w:color w:val="000000"/>
          <w:sz w:val="25"/>
        </w:rPr>
        <w:t>本项目生产过程中无废水产生，项目劳动定员12人，均不在厂区食宿，主要为员工洗漱废水。用水量按30L／d·人计，用水量为99t／a（0.36m3／d），排放量按照用水量的80％计，则废水排放量为79.2t／a（0.288m3／d）。经类比，洗漱废水中COD产生浓度为180mg／L，产生量为0.014t／a；NH3-N产生浓度为24mg／L，产生量为0.0019t／a。项目产生的洗漱废水经化粪池（1x5m3）处理后，由企业定期清运，用于沤制农家肥。</w:t>
      </w:r>
    </w:p>
    <w:p>
      <w:pPr>
        <w:spacing w:line="384" w:lineRule="auto"/>
        <w:ind w:firstLine="0"/>
        <w:jc w:val="both"/>
        <w:rPr>
          <w:sz w:val="25"/>
        </w:rPr>
      </w:pPr>
      <w:r>
        <w:rPr>
          <w:rFonts w:hint="eastAsia" w:ascii="宋体" w:hAnsi="宋体" w:eastAsia="宋体"/>
          <w:color w:val="000000"/>
          <w:sz w:val="25"/>
        </w:rPr>
        <w:t>4、固废环境影响分析</w:t>
      </w:r>
    </w:p>
    <w:p>
      <w:pPr>
        <w:spacing w:line="384" w:lineRule="auto"/>
        <w:ind w:firstLine="500"/>
        <w:jc w:val="both"/>
        <w:rPr>
          <w:sz w:val="25"/>
        </w:rPr>
      </w:pPr>
      <w:r>
        <w:rPr>
          <w:rFonts w:hint="eastAsia" w:ascii="宋体" w:hAnsi="宋体" w:eastAsia="宋体"/>
          <w:color w:val="000000"/>
          <w:sz w:val="25"/>
        </w:rPr>
        <w:t>项目营运期固废主要有：生活垃圾、废边角料、除尘器收集的粉尘，均为一般固体废物。</w:t>
      </w:r>
    </w:p>
    <w:p>
      <w:pPr>
        <w:spacing w:line="384" w:lineRule="auto"/>
        <w:ind w:firstLine="500"/>
        <w:jc w:val="both"/>
        <w:rPr>
          <w:sz w:val="25"/>
        </w:rPr>
      </w:pPr>
      <w:r>
        <w:rPr>
          <w:rFonts w:hint="eastAsia" w:ascii="宋体" w:hAnsi="宋体" w:eastAsia="宋体"/>
          <w:color w:val="000000"/>
          <w:sz w:val="25"/>
        </w:rPr>
        <w:t>①生活垃圾</w:t>
      </w:r>
    </w:p>
    <w:p>
      <w:pPr>
        <w:spacing w:line="384" w:lineRule="auto"/>
        <w:ind w:firstLine="500"/>
        <w:jc w:val="both"/>
        <w:rPr>
          <w:sz w:val="25"/>
        </w:rPr>
      </w:pPr>
      <w:r>
        <w:rPr>
          <w:rFonts w:hint="eastAsia" w:ascii="宋体" w:hAnsi="宋体" w:eastAsia="宋体"/>
          <w:color w:val="000000"/>
          <w:sz w:val="25"/>
        </w:rPr>
        <w:t>营运期生活垃圾产生量约为6kg／d（1.65t／a）。厂区内设有垃圾桶，生活垃圾集中收集至垃圾桶后，由当地环卫部门定期清运。</w:t>
      </w:r>
    </w:p>
    <w:p>
      <w:pPr>
        <w:spacing w:line="384" w:lineRule="auto"/>
        <w:ind w:firstLine="500"/>
        <w:jc w:val="both"/>
        <w:rPr>
          <w:sz w:val="25"/>
        </w:rPr>
      </w:pPr>
      <w:r>
        <w:rPr>
          <w:rFonts w:hint="eastAsia" w:ascii="宋体" w:hAnsi="宋体" w:eastAsia="宋体"/>
          <w:color w:val="000000"/>
          <w:sz w:val="25"/>
        </w:rPr>
        <w:t>②废边角料</w:t>
      </w:r>
    </w:p>
    <w:p>
      <w:pPr>
        <w:spacing w:line="384" w:lineRule="auto"/>
        <w:ind w:firstLine="500"/>
        <w:jc w:val="both"/>
        <w:rPr>
          <w:sz w:val="25"/>
        </w:rPr>
      </w:pPr>
      <w:r>
        <w:rPr>
          <w:rFonts w:hint="eastAsia" w:ascii="宋体" w:hAnsi="宋体" w:eastAsia="宋体"/>
          <w:color w:val="000000"/>
          <w:sz w:val="25"/>
        </w:rPr>
        <w:t>木料开料时废边角料产生量约为0.77t／a，全部外售给废品收购单位。</w:t>
      </w:r>
    </w:p>
    <w:p>
      <w:pPr>
        <w:spacing w:line="384" w:lineRule="auto"/>
        <w:ind w:firstLine="500"/>
        <w:jc w:val="both"/>
        <w:rPr>
          <w:sz w:val="25"/>
        </w:rPr>
      </w:pPr>
      <w:r>
        <w:rPr>
          <w:rFonts w:hint="eastAsia" w:ascii="宋体" w:hAnsi="宋体" w:eastAsia="宋体"/>
          <w:color w:val="000000"/>
          <w:sz w:val="25"/>
        </w:rPr>
        <w:t>③除尘器收集的粉尘</w:t>
      </w:r>
    </w:p>
    <w:p>
      <w:pPr>
        <w:spacing w:line="384" w:lineRule="auto"/>
        <w:ind w:firstLine="500"/>
        <w:jc w:val="both"/>
        <w:rPr>
          <w:sz w:val="25"/>
        </w:rPr>
        <w:sectPr>
          <w:footerReference r:id="rId33" w:type="default"/>
          <w:type w:val="continuous"/>
          <w:pgSz w:w="11900" w:h="16820"/>
          <w:pgMar w:top="1200" w:right="1200" w:bottom="1440" w:left="1200" w:header="600" w:footer="720" w:gutter="0"/>
          <w:cols w:space="720" w:num="1"/>
        </w:sectPr>
      </w:pPr>
      <w:r>
        <w:rPr>
          <w:rFonts w:hint="eastAsia" w:ascii="宋体" w:hAnsi="宋体" w:eastAsia="宋体"/>
          <w:color w:val="000000"/>
          <w:sz w:val="25"/>
        </w:rPr>
        <w:t>布袋除尘器，回收木屑粉末约38.88kg／a，作为废品进行外售。</w:t>
      </w:r>
    </w:p>
    <w:p>
      <w:pPr>
        <w:spacing w:line="240" w:lineRule="auto"/>
        <w:ind w:firstLine="460"/>
        <w:jc w:val="both"/>
        <w:rPr>
          <w:sz w:val="23"/>
        </w:rPr>
      </w:pPr>
      <w:r>
        <w:rPr>
          <w:rFonts w:hint="eastAsia" w:ascii="Calibri" w:hAnsi="Calibri" w:eastAsia="Calibri"/>
          <w:color w:val="000000"/>
          <w:sz w:val="23"/>
        </w:rPr>
        <w:t>表21                     固体废物处置措施一览表</w:t>
      </w:r>
    </w:p>
    <w:tbl>
      <w:tblPr>
        <w:tblStyle w:val="2"/>
        <w:tblW w:w="91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2163"/>
        <w:gridCol w:w="1475"/>
        <w:gridCol w:w="4129"/>
        <w:gridCol w:w="141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80" w:hRule="atLeast"/>
          <w:jc w:val="center"/>
        </w:trPr>
        <w:tc>
          <w:tcPr>
            <w:tcW w:w="2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固体废物</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产生量</w:t>
            </w:r>
          </w:p>
        </w:tc>
        <w:tc>
          <w:tcPr>
            <w:tcW w:w="4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处置措施</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排放量</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00" w:hRule="atLeast"/>
          <w:jc w:val="center"/>
        </w:trPr>
        <w:tc>
          <w:tcPr>
            <w:tcW w:w="2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生活垃圾</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1.65t/a</w:t>
            </w:r>
          </w:p>
        </w:tc>
        <w:tc>
          <w:tcPr>
            <w:tcW w:w="4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厂区内设垃圾桶，生活垃圾集中收集至垃圾桶，由当地环卫部门定期清运。</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1.65t/a</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2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废边角料</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0.77t/a</w:t>
            </w:r>
          </w:p>
        </w:tc>
        <w:tc>
          <w:tcPr>
            <w:tcW w:w="4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外售给废品收购单位</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2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除尘器粉尘</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Calibri" w:hAnsi="Calibri" w:eastAsia="Calibri"/>
                <w:color w:val="000000"/>
                <w:sz w:val="20"/>
              </w:rPr>
              <w:t>38.88kg/a</w:t>
            </w:r>
          </w:p>
        </w:tc>
        <w:tc>
          <w:tcPr>
            <w:tcW w:w="41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作为废品进行外售</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0</w:t>
            </w:r>
          </w:p>
        </w:tc>
      </w:tr>
    </w:tbl>
    <w:p/>
    <w:tbl>
      <w:tblPr>
        <w:tblStyle w:val="2"/>
        <w:tblW w:w="96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2265"/>
        <w:gridCol w:w="1538"/>
        <w:gridCol w:w="4322"/>
        <w:gridCol w:w="147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2180" w:type="dxa"/>
            <w:tcBorders>
              <w:top w:val="single" w:color="000000" w:sz="4" w:space="0"/>
              <w:left w:val="single" w:color="000000" w:sz="4" w:space="0"/>
              <w:bottom w:val="single" w:color="000000" w:sz="4" w:space="0"/>
              <w:right w:val="single" w:color="000000" w:sz="4" w:space="0"/>
            </w:tcBorders>
            <w:vAlign w:val="center"/>
          </w:tcPr>
          <w:p/>
        </w:tc>
        <w:tc>
          <w:tcPr>
            <w:tcW w:w="1480" w:type="dxa"/>
            <w:tcBorders>
              <w:top w:val="single" w:color="000000" w:sz="4" w:space="0"/>
              <w:left w:val="single" w:color="000000" w:sz="4" w:space="0"/>
              <w:bottom w:val="single" w:color="000000" w:sz="4" w:space="0"/>
              <w:right w:val="single" w:color="000000" w:sz="4" w:space="0"/>
            </w:tcBorders>
            <w:vAlign w:val="center"/>
          </w:tcPr>
          <w:p/>
        </w:tc>
        <w:tc>
          <w:tcPr>
            <w:tcW w:w="4160" w:type="dxa"/>
            <w:tcBorders>
              <w:top w:val="single" w:color="000000" w:sz="4" w:space="0"/>
              <w:left w:val="single" w:color="000000" w:sz="4" w:space="0"/>
              <w:bottom w:val="single" w:color="000000" w:sz="4" w:space="0"/>
              <w:right w:val="single" w:color="000000" w:sz="4" w:space="0"/>
            </w:tcBorders>
            <w:vAlign w:val="center"/>
          </w:tcPr>
          <w:p/>
        </w:tc>
        <w:tc>
          <w:tcPr>
            <w:tcW w:w="1420" w:type="dxa"/>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900" w:hRule="atLeast"/>
          <w:jc w:val="center"/>
        </w:trPr>
        <w:tc>
          <w:tcPr>
            <w:tcW w:w="924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5、产业政策及规划相符性分析</w:t>
            </w:r>
          </w:p>
          <w:p>
            <w:pPr>
              <w:spacing w:line="240" w:lineRule="auto"/>
              <w:ind w:firstLine="0"/>
              <w:jc w:val="both"/>
              <w:rPr>
                <w:sz w:val="23"/>
              </w:rPr>
            </w:pPr>
            <w:r>
              <w:rPr>
                <w:rFonts w:hint="eastAsia" w:ascii="宋体" w:hAnsi="宋体" w:eastAsia="宋体"/>
                <w:color w:val="000000"/>
                <w:sz w:val="23"/>
              </w:rPr>
              <w:t>5.1产业政策</w:t>
            </w:r>
          </w:p>
          <w:p>
            <w:pPr>
              <w:spacing w:line="240" w:lineRule="auto"/>
              <w:ind w:firstLine="460"/>
              <w:jc w:val="both"/>
              <w:rPr>
                <w:sz w:val="23"/>
              </w:rPr>
            </w:pPr>
            <w:r>
              <w:rPr>
                <w:rFonts w:hint="eastAsia" w:ascii="宋体" w:hAnsi="宋体" w:eastAsia="宋体"/>
                <w:color w:val="000000"/>
                <w:sz w:val="23"/>
              </w:rPr>
              <w:t>本项目属于木制家具制造项目，根据国务院关于发布的《产业结构调整导向目录（2011年本）》（2013年修订），本项目生产工艺、设备、产品均不属于产业政策中的限制和淘汰类，符合国家产业政策。</w:t>
            </w:r>
          </w:p>
          <w:p>
            <w:pPr>
              <w:spacing w:line="240" w:lineRule="auto"/>
              <w:ind w:firstLine="460"/>
              <w:jc w:val="both"/>
              <w:rPr>
                <w:sz w:val="23"/>
              </w:rPr>
            </w:pPr>
            <w:r>
              <w:rPr>
                <w:rFonts w:hint="eastAsia" w:ascii="宋体" w:hAnsi="宋体" w:eastAsia="宋体"/>
                <w:color w:val="000000"/>
                <w:sz w:val="23"/>
              </w:rPr>
              <w:t>根据《滑县人民政府关于印发滑县2016年度蓝天工程实施方案的通知》（滑政（2016〕11号）中“开展各类堆场扬尘专项治理。各类煤堆、灰场、渣场和其他产生扬尘（粉尘）的散流体原料堆放场要按规范建设“三防”措施，建设防风抑尘墙、防风抑尘网，并配备喷淋、覆盖和围挡等防风抑尘设施。要在物料输送、装卸等过程中采取密闭防尘设施。露天装卸应采用湿式作业，严禁装卸干燥物料。依法取缔不达标的各类堆场，对达标的堆场也要限期退出县城规划区。”、“加强运输扬尘管理。落实河南省运输扬尘管理办法，运输煤炭、垃圾、渣土、砂石、土方、灰浆等散装、流体物料车辆要采取密闭或其他措施防止扬尘污染。”、“开展石料加工扬尘专项治理。开展石料加工企业扬尘专项整治，严防露天石料加工、运输等环节产生的粉尘污染”等要求。</w:t>
            </w:r>
          </w:p>
          <w:p>
            <w:pPr>
              <w:spacing w:line="240" w:lineRule="auto"/>
              <w:ind w:firstLine="460"/>
              <w:jc w:val="both"/>
              <w:rPr>
                <w:sz w:val="23"/>
              </w:rPr>
            </w:pPr>
            <w:r>
              <w:rPr>
                <w:rFonts w:hint="eastAsia" w:ascii="宋体" w:hAnsi="宋体" w:eastAsia="宋体"/>
                <w:color w:val="000000"/>
                <w:sz w:val="23"/>
              </w:rPr>
              <w:t>拟建项目生产车间全密闭，不使用沙子、水泥等粉料、不设堆场，符合滑县2016年蓝天工程相关要求。</w:t>
            </w:r>
          </w:p>
          <w:p>
            <w:pPr>
              <w:spacing w:line="240" w:lineRule="auto"/>
              <w:ind w:firstLine="460"/>
              <w:jc w:val="both"/>
              <w:rPr>
                <w:sz w:val="23"/>
              </w:rPr>
            </w:pPr>
            <w:r>
              <w:rPr>
                <w:rFonts w:hint="eastAsia" w:ascii="宋体" w:hAnsi="宋体" w:eastAsia="宋体"/>
                <w:color w:val="000000"/>
                <w:sz w:val="23"/>
              </w:rPr>
              <w:t>因此项目的建设是符合相关产业政策的。</w:t>
            </w:r>
          </w:p>
          <w:p>
            <w:pPr>
              <w:spacing w:line="240" w:lineRule="auto"/>
              <w:ind w:firstLine="0"/>
              <w:jc w:val="both"/>
              <w:rPr>
                <w:sz w:val="23"/>
              </w:rPr>
            </w:pPr>
            <w:r>
              <w:rPr>
                <w:rFonts w:hint="eastAsia" w:ascii="宋体" w:hAnsi="宋体" w:eastAsia="宋体"/>
                <w:color w:val="000000"/>
                <w:sz w:val="23"/>
              </w:rPr>
              <w:t>5.2规划符合性分析</w:t>
            </w:r>
          </w:p>
          <w:p>
            <w:pPr>
              <w:spacing w:line="240" w:lineRule="auto"/>
              <w:ind w:firstLine="460"/>
              <w:jc w:val="both"/>
              <w:rPr>
                <w:sz w:val="23"/>
              </w:rPr>
            </w:pPr>
            <w:r>
              <w:rPr>
                <w:rFonts w:hint="eastAsia" w:ascii="Calibri" w:hAnsi="Calibri" w:eastAsia="Calibri"/>
                <w:color w:val="000000"/>
                <w:sz w:val="23"/>
              </w:rPr>
              <w:t>①《滑县城乡总体规划》（2011-2030）</w:t>
            </w:r>
          </w:p>
          <w:p>
            <w:pPr>
              <w:spacing w:line="240" w:lineRule="auto"/>
              <w:ind w:firstLine="0"/>
              <w:jc w:val="both"/>
              <w:rPr>
                <w:sz w:val="23"/>
              </w:rPr>
            </w:pPr>
            <w:r>
              <w:rPr>
                <w:rFonts w:hint="eastAsia" w:ascii="宋体" w:hAnsi="宋体" w:eastAsia="宋体"/>
                <w:color w:val="000000"/>
                <w:sz w:val="23"/>
              </w:rPr>
              <w:t>根据《滑县城乡总体规划》（2011-2030）滑县城市规划区范围：道口镇城关</w:t>
            </w:r>
          </w:p>
        </w:tc>
      </w:tr>
    </w:tbl>
    <w:p>
      <w:pPr>
        <w:spacing w:line="240" w:lineRule="auto"/>
        <w:ind w:firstLine="460"/>
        <w:jc w:val="both"/>
        <w:rPr>
          <w:sz w:val="23"/>
        </w:rPr>
        <w:sectPr>
          <w:footerReference r:id="rId34" w:type="default"/>
          <w:type w:val="continuous"/>
          <w:pgSz w:w="11900" w:h="16820"/>
          <w:pgMar w:top="1200" w:right="1200" w:bottom="1200" w:left="1200" w:header="600" w:footer="600" w:gutter="0"/>
          <w:cols w:space="720" w:num="1"/>
        </w:sectPr>
      </w:pPr>
      <w:r>
        <w:rPr>
          <w:rFonts w:hint="eastAsia" w:ascii="宋体" w:hAnsi="宋体" w:eastAsia="宋体"/>
          <w:color w:val="000000"/>
          <w:sz w:val="23"/>
        </w:rPr>
        <w:t>根据《滑县城乡总体规划》（2011-2030），滑县城市规划区范围：道口镇、城关镇、留固镇、小铺乡所辖全部用地及枣树乡的堤上、井庄、西营、大屯和油坊等5个行政村，规划区总面积约315平方公里。</w:t>
      </w:r>
    </w:p>
    <w:tbl>
      <w:tblPr>
        <w:tblStyle w:val="2"/>
        <w:tblW w:w="97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70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140" w:hRule="atLeast"/>
          <w:jc w:val="center"/>
        </w:trPr>
        <w:tc>
          <w:tcPr>
            <w:tcW w:w="9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460"/>
              <w:jc w:val="both"/>
              <w:rPr>
                <w:sz w:val="23"/>
              </w:rPr>
            </w:pPr>
            <w:r>
              <w:rPr>
                <w:rFonts w:hint="eastAsia" w:ascii="宋体" w:hAnsi="宋体" w:eastAsia="宋体"/>
                <w:color w:val="000000"/>
                <w:sz w:val="23"/>
              </w:rPr>
              <w:t>中心城区即规划控制区范围：滑县城市规划控制区范围东至东外环路、西北至滑县与浚县县界、南至规划的南外环路，面积约116平方公里。其中规划建设用地63平方公里，其余作为发展备用地、风景生态等用地存在。</w:t>
            </w:r>
          </w:p>
          <w:p>
            <w:pPr>
              <w:spacing w:line="240" w:lineRule="auto"/>
              <w:ind w:firstLine="460"/>
              <w:jc w:val="both"/>
              <w:rPr>
                <w:sz w:val="23"/>
              </w:rPr>
            </w:pPr>
            <w:r>
              <w:rPr>
                <w:rFonts w:hint="eastAsia" w:ascii="宋体" w:hAnsi="宋体" w:eastAsia="宋体"/>
                <w:color w:val="000000"/>
                <w:sz w:val="23"/>
              </w:rPr>
              <w:t>本项目距离滑县中心城区北部边界距离约15km，不在其规划的城市建成区内。</w:t>
            </w:r>
          </w:p>
          <w:p>
            <w:pPr>
              <w:spacing w:line="240" w:lineRule="auto"/>
              <w:ind w:firstLine="460"/>
              <w:jc w:val="both"/>
              <w:rPr>
                <w:sz w:val="23"/>
              </w:rPr>
            </w:pPr>
            <w:r>
              <w:rPr>
                <w:rFonts w:hint="eastAsia" w:ascii="宋体" w:hAnsi="宋体" w:eastAsia="宋体"/>
                <w:color w:val="000000"/>
                <w:sz w:val="23"/>
              </w:rPr>
              <w:t>②河南省主体功能区分布</w:t>
            </w:r>
          </w:p>
          <w:p>
            <w:pPr>
              <w:spacing w:line="240" w:lineRule="auto"/>
              <w:ind w:firstLine="460"/>
              <w:jc w:val="both"/>
              <w:rPr>
                <w:sz w:val="23"/>
              </w:rPr>
            </w:pPr>
            <w:r>
              <w:rPr>
                <w:rFonts w:hint="eastAsia" w:ascii="宋体" w:hAnsi="宋体" w:eastAsia="宋体"/>
                <w:color w:val="000000"/>
                <w:sz w:val="23"/>
              </w:rPr>
              <w:t>根据《河南省主体功能区分布》划分结果，本项目属于限制开发区域和农场品主产区。按照《河南省环境保护厅关于深化建设项目环境影响评价审批制度改革的实施意见》（豫环文〔2016〕33号）文件，对农产品主产区要求如下：</w:t>
            </w:r>
          </w:p>
          <w:p>
            <w:pPr>
              <w:spacing w:line="240" w:lineRule="auto"/>
              <w:ind w:firstLine="460"/>
              <w:jc w:val="both"/>
              <w:rPr>
                <w:sz w:val="23"/>
              </w:rPr>
            </w:pPr>
            <w:r>
              <w:rPr>
                <w:rFonts w:hint="eastAsia" w:ascii="宋体" w:hAnsi="宋体" w:eastAsia="宋体"/>
                <w:color w:val="000000"/>
                <w:sz w:val="23"/>
              </w:rPr>
              <w:t>主体功能区划限制开发区域中的农产品主产区，要以保障农产品供给安全为目标，严格控制工业开发活动，支持因地制宜发展农产品加工业，防止不合理工业开发对农业生产环境的不良影响。</w:t>
            </w:r>
          </w:p>
          <w:p>
            <w:pPr>
              <w:spacing w:line="240" w:lineRule="auto"/>
              <w:ind w:firstLine="460"/>
              <w:jc w:val="both"/>
              <w:rPr>
                <w:sz w:val="23"/>
              </w:rPr>
            </w:pPr>
            <w:r>
              <w:rPr>
                <w:rFonts w:hint="eastAsia" w:ascii="宋体" w:hAnsi="宋体" w:eastAsia="宋体"/>
                <w:color w:val="000000"/>
                <w:sz w:val="23"/>
              </w:rPr>
              <w:t>1．取消部分审批事项。对《建设项目环境影响评价豁免管理名录》中的水利、农林牧渔、交通设施、社会事业与服务业等4类项目，不需办理环评手续。</w:t>
            </w:r>
          </w:p>
          <w:p>
            <w:pPr>
              <w:spacing w:line="240" w:lineRule="auto"/>
              <w:ind w:firstLine="460"/>
              <w:jc w:val="both"/>
              <w:rPr>
                <w:sz w:val="23"/>
              </w:rPr>
            </w:pPr>
            <w:r>
              <w:rPr>
                <w:rFonts w:hint="eastAsia" w:ascii="宋体" w:hAnsi="宋体" w:eastAsia="宋体"/>
                <w:color w:val="000000"/>
                <w:sz w:val="23"/>
              </w:rPr>
              <w:t>2．简化部分审批程序。依据环保部《建设项目环境影响评价分类管理名录》规定，对填报环境影响登记表的农副产品加工项目，探索环评文件由审批制改为备案制，即报即受理，现场办结；对编制环境影响报告表农副产品加工项目，简化审批程序，即报即受理。</w:t>
            </w:r>
          </w:p>
          <w:p>
            <w:pPr>
              <w:spacing w:line="240" w:lineRule="auto"/>
              <w:ind w:firstLine="460"/>
              <w:jc w:val="both"/>
              <w:rPr>
                <w:sz w:val="23"/>
              </w:rPr>
            </w:pPr>
            <w:r>
              <w:rPr>
                <w:rFonts w:hint="eastAsia" w:ascii="宋体" w:hAnsi="宋体" w:eastAsia="宋体"/>
                <w:color w:val="000000"/>
                <w:sz w:val="23"/>
              </w:rPr>
              <w:t>3．严控重污染项目。不予审批《工业项目分类清单》中三类工业的新建项目和涉及重金属、持久性有机污染物排放等影响粮食生产安全的二类工业新建项目（矿产资源点状开发项目和符合我省重大产业布局的项目除外）。</w:t>
            </w:r>
          </w:p>
          <w:p>
            <w:pPr>
              <w:spacing w:line="240" w:lineRule="auto"/>
              <w:ind w:firstLine="460"/>
              <w:jc w:val="both"/>
              <w:rPr>
                <w:sz w:val="23"/>
              </w:rPr>
            </w:pPr>
            <w:r>
              <w:rPr>
                <w:rFonts w:hint="eastAsia" w:ascii="宋体" w:hAnsi="宋体" w:eastAsia="宋体"/>
                <w:color w:val="000000"/>
                <w:sz w:val="23"/>
              </w:rPr>
              <w:t>4．严控部分区域重污染项目。在属于《水污染防治重点单元》的区域内，不予审批屠宰、酿造、含发酵工艺的粮食加工等废水排放量大项目。</w:t>
            </w:r>
          </w:p>
          <w:p>
            <w:pPr>
              <w:spacing w:line="240" w:lineRule="auto"/>
              <w:ind w:firstLine="460"/>
              <w:jc w:val="both"/>
              <w:rPr>
                <w:sz w:val="23"/>
              </w:rPr>
            </w:pPr>
            <w:r>
              <w:rPr>
                <w:rFonts w:hint="eastAsia" w:ascii="宋体" w:hAnsi="宋体" w:eastAsia="宋体"/>
                <w:color w:val="000000"/>
                <w:sz w:val="23"/>
              </w:rPr>
              <w:t>本项目不属于《工业项目分类清单》中三类工业的新建项目和涉及重金属、持久性有机污染物排放等影响粮食生产安全的二类工业新建项目，项目无废水外排。综上可知，本项目符合《河南省主体功能区分布》要求。</w:t>
            </w:r>
          </w:p>
          <w:p>
            <w:pPr>
              <w:spacing w:line="240" w:lineRule="auto"/>
              <w:ind w:firstLine="0"/>
              <w:jc w:val="both"/>
              <w:rPr>
                <w:sz w:val="26"/>
              </w:rPr>
            </w:pPr>
            <w:r>
              <w:rPr>
                <w:rFonts w:hint="eastAsia" w:ascii="宋体" w:hAnsi="宋体" w:eastAsia="宋体"/>
                <w:color w:val="000000"/>
                <w:sz w:val="26"/>
              </w:rPr>
              <w:t>6、选址合理性分析</w:t>
            </w:r>
          </w:p>
          <w:p>
            <w:pPr>
              <w:spacing w:line="240" w:lineRule="auto"/>
              <w:ind w:firstLine="460"/>
              <w:jc w:val="both"/>
              <w:rPr>
                <w:sz w:val="23"/>
              </w:rPr>
            </w:pPr>
            <w:r>
              <w:rPr>
                <w:rFonts w:hint="eastAsia" w:ascii="宋体" w:hAnsi="宋体" w:eastAsia="宋体"/>
                <w:color w:val="000000"/>
                <w:sz w:val="23"/>
              </w:rPr>
              <w:t>根据现有项目用地证明可知，用地性质为建设用地。因此本项目选址符合用地要</w:t>
            </w:r>
          </w:p>
        </w:tc>
      </w:tr>
    </w:tbl>
    <w:p>
      <w:pPr>
        <w:spacing w:line="1" w:lineRule="exact"/>
        <w:sectPr>
          <w:footerReference r:id="rId35" w:type="default"/>
          <w:type w:val="continuous"/>
          <w:pgSz w:w="11900" w:h="16820"/>
          <w:pgMar w:top="1200" w:right="960" w:bottom="1440" w:left="960" w:header="600" w:footer="720" w:gutter="0"/>
          <w:cols w:space="720" w:num="1"/>
        </w:sectPr>
      </w:pPr>
    </w:p>
    <w:p>
      <w:pPr>
        <w:spacing w:line="336" w:lineRule="auto"/>
        <w:ind w:firstLine="0"/>
        <w:jc w:val="both"/>
        <w:rPr>
          <w:sz w:val="23"/>
        </w:rPr>
      </w:pPr>
      <w:r>
        <w:rPr>
          <w:rFonts w:hint="eastAsia" w:ascii="宋体" w:hAnsi="宋体" w:eastAsia="宋体"/>
          <w:color w:val="000000"/>
          <w:sz w:val="23"/>
        </w:rPr>
        <w:t>求，选址合理。</w:t>
      </w:r>
    </w:p>
    <w:p>
      <w:pPr>
        <w:spacing w:line="336" w:lineRule="auto"/>
        <w:ind w:firstLine="0"/>
        <w:jc w:val="both"/>
        <w:rPr>
          <w:sz w:val="23"/>
        </w:rPr>
      </w:pPr>
      <w:r>
        <w:rPr>
          <w:rFonts w:hint="eastAsia" w:ascii="宋体" w:hAnsi="宋体" w:eastAsia="宋体"/>
          <w:color w:val="000000"/>
          <w:sz w:val="23"/>
        </w:rPr>
        <w:t>7、平面布置合理性分析</w:t>
      </w:r>
    </w:p>
    <w:p>
      <w:pPr>
        <w:spacing w:line="336" w:lineRule="auto"/>
        <w:ind w:firstLine="460"/>
        <w:jc w:val="both"/>
        <w:rPr>
          <w:sz w:val="23"/>
        </w:rPr>
      </w:pPr>
      <w:r>
        <w:rPr>
          <w:rFonts w:hint="eastAsia" w:ascii="宋体" w:hAnsi="宋体" w:eastAsia="宋体"/>
          <w:color w:val="000000"/>
          <w:sz w:val="23"/>
        </w:rPr>
        <w:t>根据预测分析可知，各厂界无组织排放粉尘浓度能够满足《大气污染物综合排放标准》（GB16297-1996）表2 中颗粒物无组织排放监控限值的要求；各厂界噪声能够满足《工业企业厂界环境噪声排放标准》（GB12348-2008）昼间2类标准限值要求；职工生活污水全部排入化粪池，定期清掏后用于沤制农家肥。</w:t>
      </w:r>
    </w:p>
    <w:p>
      <w:pPr>
        <w:spacing w:line="336" w:lineRule="auto"/>
        <w:ind w:firstLine="460"/>
        <w:jc w:val="both"/>
        <w:rPr>
          <w:sz w:val="23"/>
        </w:rPr>
      </w:pPr>
      <w:r>
        <w:rPr>
          <w:rFonts w:hint="eastAsia" w:ascii="宋体" w:hAnsi="宋体" w:eastAsia="宋体"/>
          <w:color w:val="000000"/>
          <w:sz w:val="23"/>
        </w:rPr>
        <w:t>根据本项目平面布置图可知，项目需要建设的建构物按照生产工序依次布置，能够保证生产有序依次进行。</w:t>
      </w:r>
    </w:p>
    <w:p>
      <w:pPr>
        <w:spacing w:line="336" w:lineRule="auto"/>
        <w:ind w:firstLine="460"/>
        <w:jc w:val="both"/>
        <w:rPr>
          <w:sz w:val="23"/>
        </w:rPr>
      </w:pPr>
      <w:r>
        <w:rPr>
          <w:rFonts w:hint="eastAsia" w:ascii="宋体" w:hAnsi="宋体" w:eastAsia="宋体"/>
          <w:color w:val="000000"/>
          <w:sz w:val="23"/>
        </w:rPr>
        <w:t>综上所述，本项目平面布置合理可行。</w:t>
      </w:r>
    </w:p>
    <w:p>
      <w:pPr>
        <w:spacing w:line="336" w:lineRule="auto"/>
        <w:ind w:firstLine="0"/>
        <w:jc w:val="both"/>
        <w:rPr>
          <w:sz w:val="23"/>
        </w:rPr>
      </w:pPr>
      <w:r>
        <w:rPr>
          <w:rFonts w:hint="eastAsia" w:ascii="宋体" w:hAnsi="宋体" w:eastAsia="宋体"/>
          <w:color w:val="000000"/>
          <w:sz w:val="23"/>
        </w:rPr>
        <w:t>8、总量控制</w:t>
      </w:r>
    </w:p>
    <w:p>
      <w:pPr>
        <w:spacing w:line="336" w:lineRule="auto"/>
        <w:ind w:firstLine="460"/>
        <w:jc w:val="both"/>
        <w:rPr>
          <w:sz w:val="23"/>
        </w:rPr>
      </w:pPr>
      <w:r>
        <w:rPr>
          <w:rFonts w:hint="eastAsia" w:ascii="宋体" w:hAnsi="宋体" w:eastAsia="宋体"/>
          <w:color w:val="000000"/>
          <w:sz w:val="23"/>
        </w:rPr>
        <w:t>根据工程分析可知，本项目无外排污染物，故不涉及总量控制指标。</w:t>
      </w:r>
    </w:p>
    <w:p>
      <w:pPr>
        <w:spacing w:line="336" w:lineRule="auto"/>
        <w:ind w:firstLine="0"/>
        <w:jc w:val="both"/>
        <w:rPr>
          <w:sz w:val="23"/>
        </w:rPr>
      </w:pPr>
      <w:r>
        <w:rPr>
          <w:rFonts w:hint="eastAsia" w:ascii="宋体" w:hAnsi="宋体" w:eastAsia="宋体"/>
          <w:color w:val="000000"/>
          <w:sz w:val="23"/>
        </w:rPr>
        <w:t>9、环保投资</w:t>
      </w:r>
    </w:p>
    <w:p>
      <w:pPr>
        <w:spacing w:line="336" w:lineRule="auto"/>
        <w:ind w:firstLine="460"/>
        <w:jc w:val="both"/>
        <w:rPr>
          <w:sz w:val="23"/>
        </w:rPr>
      </w:pPr>
      <w:r>
        <w:rPr>
          <w:rFonts w:hint="eastAsia" w:ascii="宋体" w:hAnsi="宋体" w:eastAsia="宋体"/>
          <w:color w:val="000000"/>
          <w:sz w:val="23"/>
        </w:rPr>
        <w:t>本项目总投资20万，其中环保投资约5.6万元，占总投资的28％。主要环保措施投资详见表22，三同时验收内容见表23。</w:t>
      </w:r>
    </w:p>
    <w:p>
      <w:pPr>
        <w:spacing w:line="216" w:lineRule="auto"/>
        <w:ind w:firstLine="0"/>
        <w:jc w:val="both"/>
        <w:rPr>
          <w:sz w:val="26"/>
        </w:rPr>
      </w:pPr>
      <w:r>
        <w:rPr>
          <w:rFonts w:hint="eastAsia" w:ascii="Calibri" w:hAnsi="Calibri" w:eastAsia="Calibri"/>
          <w:color w:val="000000"/>
          <w:sz w:val="26"/>
        </w:rPr>
        <w:t>表22             本项目环保投资估算一览表</w:t>
      </w:r>
    </w:p>
    <w:tbl>
      <w:tblPr>
        <w:tblStyle w:val="2"/>
        <w:tblW w:w="94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20"/>
        <w:gridCol w:w="724"/>
        <w:gridCol w:w="1409"/>
        <w:gridCol w:w="1308"/>
        <w:gridCol w:w="3382"/>
        <w:gridCol w:w="1188"/>
        <w:gridCol w:w="1188"/>
        <w:gridCol w:w="10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20" w:type="dxa"/>
            <w:vMerge w:val="restart"/>
            <w:tcBorders>
              <w:top w:val="single" w:color="000000" w:sz="4" w:space="0"/>
              <w:left w:val="single" w:color="000000" w:sz="4" w:space="0"/>
              <w:bottom w:val="single" w:color="000000" w:sz="4" w:space="0"/>
              <w:right w:val="single" w:color="000000" w:sz="4" w:space="0"/>
            </w:tcBorders>
            <w:vAlign w:val="center"/>
          </w:tcPr>
          <w:p/>
        </w:tc>
        <w:tc>
          <w:tcPr>
            <w:tcW w:w="21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污染物</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生产工序</w:t>
            </w:r>
          </w:p>
        </w:tc>
        <w:tc>
          <w:tcPr>
            <w:tcW w:w="3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处理措施</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环保投资</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备注</w:t>
            </w:r>
          </w:p>
        </w:tc>
        <w:tc>
          <w:tcPr>
            <w:tcW w:w="100" w:type="dxa"/>
            <w:vMerge w:val="restart"/>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80" w:hRule="atLeast"/>
          <w:jc w:val="center"/>
        </w:trPr>
        <w:tc>
          <w:tcPr>
            <w:tcW w:w="120" w:type="dxa"/>
            <w:vMerge w:val="continue"/>
            <w:tcBorders>
              <w:left w:val="single" w:color="000000" w:sz="4" w:space="0"/>
            </w:tcBorders>
          </w:tcP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废气</w:t>
            </w:r>
          </w:p>
        </w:tc>
        <w:tc>
          <w:tcPr>
            <w:tcW w:w="14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粉尘</w:t>
            </w:r>
          </w:p>
        </w:tc>
        <w:tc>
          <w:tcPr>
            <w:tcW w:w="13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下料、木工</w:t>
            </w:r>
          </w:p>
        </w:tc>
        <w:tc>
          <w:tcPr>
            <w:tcW w:w="3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在精密锯、裁板机、雕刻机、打</w:t>
            </w:r>
          </w:p>
        </w:tc>
        <w:tc>
          <w:tcPr>
            <w:tcW w:w="11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5万元</w:t>
            </w:r>
          </w:p>
        </w:tc>
        <w:tc>
          <w:tcPr>
            <w:tcW w:w="11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新增环保措施</w:t>
            </w:r>
          </w:p>
        </w:tc>
        <w:tc>
          <w:tcPr>
            <w:tcW w:w="10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80" w:hRule="atLeast"/>
          <w:jc w:val="center"/>
        </w:trPr>
        <w:tc>
          <w:tcPr>
            <w:tcW w:w="120" w:type="dxa"/>
            <w:vMerge w:val="continue"/>
            <w:tcBorders>
              <w:left w:val="single" w:color="000000" w:sz="4" w:space="0"/>
            </w:tcBorders>
          </w:tcPr>
          <w:p/>
        </w:tc>
        <w:tc>
          <w:tcPr>
            <w:tcW w:w="720" w:type="dxa"/>
            <w:vMerge w:val="continue"/>
            <w:tcBorders>
              <w:left w:val="single" w:color="000000" w:sz="4" w:space="0"/>
            </w:tcBorders>
          </w:tcPr>
          <w:p/>
        </w:tc>
        <w:tc>
          <w:tcPr>
            <w:tcW w:w="1400" w:type="dxa"/>
            <w:vMerge w:val="continue"/>
            <w:tcBorders>
              <w:left w:val="single" w:color="000000" w:sz="4" w:space="0"/>
            </w:tcBorders>
          </w:tcPr>
          <w:p/>
        </w:tc>
        <w:tc>
          <w:tcPr>
            <w:tcW w:w="1300" w:type="dxa"/>
            <w:vMerge w:val="continue"/>
            <w:tcBorders>
              <w:left w:val="single" w:color="000000" w:sz="4" w:space="0"/>
            </w:tcBorders>
          </w:tcPr>
          <w:p/>
        </w:tc>
        <w:tc>
          <w:tcPr>
            <w:tcW w:w="3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孔机上方分别安装一个集气罩，之后由引风机引至一台布袋除尘器集中处理，最终由15m高排气筒外排。</w:t>
            </w:r>
          </w:p>
        </w:tc>
        <w:tc>
          <w:tcPr>
            <w:tcW w:w="1180" w:type="dxa"/>
            <w:vMerge w:val="continue"/>
            <w:tcBorders>
              <w:left w:val="single" w:color="000000" w:sz="4" w:space="0"/>
            </w:tcBorders>
          </w:tcPr>
          <w:p/>
        </w:tc>
        <w:tc>
          <w:tcPr>
            <w:tcW w:w="1180" w:type="dxa"/>
            <w:vMerge w:val="continue"/>
            <w:tcBorders>
              <w:left w:val="single" w:color="000000" w:sz="4" w:space="0"/>
            </w:tcBorders>
          </w:tcPr>
          <w:p/>
        </w:tc>
        <w:tc>
          <w:tcPr>
            <w:tcW w:w="10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00" w:hRule="atLeast"/>
          <w:jc w:val="center"/>
        </w:trPr>
        <w:tc>
          <w:tcPr>
            <w:tcW w:w="120" w:type="dxa"/>
            <w:vMerge w:val="continue"/>
            <w:tcBorders>
              <w:left w:val="single" w:color="000000" w:sz="4" w:space="0"/>
            </w:tcBorders>
          </w:tcPr>
          <w:p/>
        </w:tc>
        <w:tc>
          <w:tcPr>
            <w:tcW w:w="21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噪声</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生产设备</w:t>
            </w:r>
          </w:p>
        </w:tc>
        <w:tc>
          <w:tcPr>
            <w:tcW w:w="3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基础减震、厂房隔声</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0.1万元</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新增环保措施</w:t>
            </w:r>
          </w:p>
        </w:tc>
        <w:tc>
          <w:tcPr>
            <w:tcW w:w="10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80" w:hRule="atLeast"/>
          <w:jc w:val="center"/>
        </w:trPr>
        <w:tc>
          <w:tcPr>
            <w:tcW w:w="120" w:type="dxa"/>
            <w:vMerge w:val="continue"/>
            <w:tcBorders>
              <w:lef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废水</w:t>
            </w:r>
          </w:p>
        </w:tc>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生活污水</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职工生活</w:t>
            </w:r>
          </w:p>
        </w:tc>
        <w:tc>
          <w:tcPr>
            <w:tcW w:w="3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全部排入化粪池（1x5m3）处理，由企业定期清运，用于沤制农家肥。</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0.1万元</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新增环保措施</w:t>
            </w:r>
          </w:p>
        </w:tc>
        <w:tc>
          <w:tcPr>
            <w:tcW w:w="10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60" w:hRule="atLeast"/>
          <w:jc w:val="center"/>
        </w:trPr>
        <w:tc>
          <w:tcPr>
            <w:tcW w:w="120" w:type="dxa"/>
            <w:vMerge w:val="continue"/>
            <w:tcBorders>
              <w:left w:val="single" w:color="000000" w:sz="4" w:space="0"/>
            </w:tcBorders>
          </w:tcP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固废</w:t>
            </w:r>
          </w:p>
        </w:tc>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生活垃圾</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职工生活</w:t>
            </w:r>
          </w:p>
        </w:tc>
        <w:tc>
          <w:tcPr>
            <w:tcW w:w="33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厂区内设垃圾桶，生活垃圾集中收集至垃圾桶，由当地环卫部门定期清运</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0.1万元</w:t>
            </w:r>
          </w:p>
        </w:tc>
        <w:tc>
          <w:tcPr>
            <w:tcW w:w="11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新增环保措施</w:t>
            </w:r>
          </w:p>
        </w:tc>
        <w:tc>
          <w:tcPr>
            <w:tcW w:w="10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120" w:type="dxa"/>
            <w:vMerge w:val="continue"/>
            <w:tcBorders>
              <w:left w:val="single" w:color="000000" w:sz="4" w:space="0"/>
            </w:tcBorders>
          </w:tcPr>
          <w:p/>
        </w:tc>
        <w:tc>
          <w:tcPr>
            <w:tcW w:w="720" w:type="dxa"/>
            <w:vMerge w:val="continue"/>
            <w:tcBorders>
              <w:left w:val="single" w:color="000000" w:sz="4" w:space="0"/>
            </w:tcBorders>
          </w:tcPr>
          <w:p/>
        </w:tc>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废边角料</w:t>
            </w:r>
          </w:p>
        </w:tc>
        <w:tc>
          <w:tcPr>
            <w:tcW w:w="130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下料、木工</w:t>
            </w:r>
          </w:p>
        </w:tc>
        <w:tc>
          <w:tcPr>
            <w:tcW w:w="33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设置一座专门的一般固废暂存间（5m3），废边角料、木屑集中在固废间暂存后外售给废品收购单位</w:t>
            </w:r>
          </w:p>
        </w:tc>
        <w:tc>
          <w:tcPr>
            <w:tcW w:w="11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Calibri" w:hAnsi="Calibri" w:eastAsia="Calibri"/>
                <w:color w:val="000000"/>
                <w:sz w:val="23"/>
              </w:rPr>
              <w:t>0.3万元</w:t>
            </w:r>
          </w:p>
        </w:tc>
        <w:tc>
          <w:tcPr>
            <w:tcW w:w="11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新增环保措施</w:t>
            </w:r>
          </w:p>
        </w:tc>
        <w:tc>
          <w:tcPr>
            <w:tcW w:w="10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00" w:hRule="atLeast"/>
          <w:jc w:val="center"/>
        </w:trPr>
        <w:tc>
          <w:tcPr>
            <w:tcW w:w="120" w:type="dxa"/>
            <w:vMerge w:val="continue"/>
            <w:tcBorders>
              <w:left w:val="single" w:color="000000" w:sz="4" w:space="0"/>
            </w:tcBorders>
          </w:tcPr>
          <w:p/>
        </w:tc>
        <w:tc>
          <w:tcPr>
            <w:tcW w:w="720" w:type="dxa"/>
            <w:vMerge w:val="continue"/>
            <w:tcBorders>
              <w:left w:val="single" w:color="000000" w:sz="4" w:space="0"/>
            </w:tcBorders>
          </w:tcPr>
          <w:p/>
        </w:tc>
        <w:tc>
          <w:tcPr>
            <w:tcW w:w="14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木屑</w:t>
            </w:r>
          </w:p>
        </w:tc>
        <w:tc>
          <w:tcPr>
            <w:tcW w:w="1300" w:type="dxa"/>
            <w:vMerge w:val="continue"/>
            <w:tcBorders>
              <w:left w:val="single" w:color="000000" w:sz="4" w:space="0"/>
            </w:tcBorders>
          </w:tcPr>
          <w:p/>
        </w:tc>
        <w:tc>
          <w:tcPr>
            <w:tcW w:w="3360" w:type="dxa"/>
            <w:vMerge w:val="continue"/>
            <w:tcBorders>
              <w:left w:val="single" w:color="000000" w:sz="4" w:space="0"/>
            </w:tcBorders>
          </w:tcPr>
          <w:p/>
        </w:tc>
        <w:tc>
          <w:tcPr>
            <w:tcW w:w="1180" w:type="dxa"/>
            <w:vMerge w:val="continue"/>
            <w:tcBorders>
              <w:left w:val="single" w:color="000000" w:sz="4" w:space="0"/>
            </w:tcBorders>
          </w:tcPr>
          <w:p/>
        </w:tc>
        <w:tc>
          <w:tcPr>
            <w:tcW w:w="1180" w:type="dxa"/>
            <w:vMerge w:val="continue"/>
            <w:tcBorders>
              <w:left w:val="single" w:color="000000" w:sz="4" w:space="0"/>
            </w:tcBorders>
          </w:tcPr>
          <w:p/>
        </w:tc>
        <w:tc>
          <w:tcPr>
            <w:tcW w:w="100" w:type="dxa"/>
            <w:vMerge w:val="continue"/>
            <w:tcBorders>
              <w:left w:val="single" w:color="000000" w:sz="4" w:space="0"/>
            </w:tcBorders>
          </w:tcPr>
          <w:p/>
        </w:tc>
      </w:tr>
    </w:tbl>
    <w:p>
      <w:pPr>
        <w:spacing w:line="1" w:lineRule="exact"/>
        <w:sectPr>
          <w:footerReference r:id="rId36" w:type="default"/>
          <w:type w:val="continuous"/>
          <w:pgSz w:w="11900" w:h="16820"/>
          <w:pgMar w:top="1200" w:right="1200" w:bottom="1200" w:left="1200" w:header="600" w:footer="600" w:gutter="0"/>
          <w:cols w:space="720" w:num="1"/>
        </w:sectPr>
      </w:pPr>
    </w:p>
    <w:p>
      <w:pPr>
        <w:spacing w:line="240" w:lineRule="auto"/>
        <w:jc w:val="center"/>
        <w:rPr>
          <w:sz w:val="24"/>
        </w:rPr>
      </w:pPr>
      <w:r>
        <w:rPr>
          <w:rFonts w:hint="eastAsia" w:ascii="宋体" w:hAnsi="宋体" w:eastAsia="宋体"/>
          <w:color w:val="000000"/>
          <w:sz w:val="24"/>
        </w:rPr>
        <w:t>合计                            5.6万元</w:t>
      </w:r>
    </w:p>
    <w:p>
      <w:pPr>
        <w:spacing w:line="288" w:lineRule="auto"/>
        <w:jc w:val="center"/>
        <w:rPr>
          <w:sz w:val="21"/>
        </w:rPr>
      </w:pPr>
      <w:r>
        <w:rPr>
          <w:rFonts w:hint="eastAsia" w:ascii="宋体" w:hAnsi="宋体" w:eastAsia="宋体"/>
          <w:color w:val="000000"/>
          <w:sz w:val="21"/>
        </w:rPr>
        <w:t>／一</w:t>
      </w:r>
    </w:p>
    <w:p>
      <w:pPr>
        <w:spacing w:line="240" w:lineRule="auto"/>
        <w:ind w:firstLine="0"/>
        <w:jc w:val="both"/>
        <w:rPr>
          <w:sz w:val="24"/>
        </w:rPr>
      </w:pPr>
    </w:p>
    <w:p>
      <w:pPr>
        <w:spacing w:line="240" w:lineRule="auto"/>
        <w:jc w:val="center"/>
        <w:rPr>
          <w:sz w:val="24"/>
        </w:rPr>
      </w:pPr>
      <w:r>
        <w:rPr>
          <w:rFonts w:hint="eastAsia" w:ascii="Calibri" w:hAnsi="Calibri" w:eastAsia="Calibri"/>
          <w:color w:val="000000"/>
          <w:sz w:val="24"/>
        </w:rPr>
        <w:t>表23             本项目环保环境保护竣工验收一览表</w:t>
      </w:r>
    </w:p>
    <w:tbl>
      <w:tblPr>
        <w:tblStyle w:val="2"/>
        <w:tblW w:w="95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771"/>
        <w:gridCol w:w="1482"/>
        <w:gridCol w:w="3532"/>
        <w:gridCol w:w="373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22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污染物</w:t>
            </w:r>
          </w:p>
        </w:tc>
        <w:tc>
          <w:tcPr>
            <w:tcW w:w="3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验收内容</w:t>
            </w:r>
          </w:p>
        </w:tc>
        <w:tc>
          <w:tcPr>
            <w:tcW w:w="36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处理效果</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860" w:hRule="atLeast"/>
          <w:jc w:val="center"/>
        </w:trPr>
        <w:tc>
          <w:tcPr>
            <w:tcW w:w="7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废气</w:t>
            </w:r>
          </w:p>
        </w:tc>
        <w:tc>
          <w:tcPr>
            <w:tcW w:w="14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粉尘</w:t>
            </w:r>
          </w:p>
        </w:tc>
        <w:tc>
          <w:tcPr>
            <w:tcW w:w="3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①精密锯、裁板机、雕刻机、打孔机上方分别安装一个集气罩，共计4个；</w:t>
            </w:r>
          </w:p>
          <w:p>
            <w:pPr>
              <w:spacing w:line="240" w:lineRule="auto"/>
              <w:ind w:firstLine="0"/>
              <w:jc w:val="both"/>
              <w:rPr>
                <w:sz w:val="24"/>
              </w:rPr>
            </w:pPr>
            <w:r>
              <w:rPr>
                <w:rFonts w:hint="eastAsia" w:ascii="宋体" w:hAnsi="宋体" w:eastAsia="宋体"/>
                <w:color w:val="000000"/>
                <w:sz w:val="24"/>
              </w:rPr>
              <w:t>②1台布袋除尘器；</w:t>
            </w:r>
          </w:p>
          <w:p>
            <w:pPr>
              <w:spacing w:line="240" w:lineRule="auto"/>
              <w:ind w:firstLine="0"/>
              <w:jc w:val="both"/>
              <w:rPr>
                <w:sz w:val="24"/>
              </w:rPr>
            </w:pPr>
            <w:r>
              <w:rPr>
                <w:rFonts w:hint="eastAsia" w:ascii="宋体" w:hAnsi="宋体" w:eastAsia="宋体"/>
                <w:color w:val="000000"/>
                <w:sz w:val="24"/>
              </w:rPr>
              <w:t>③1根15m高排气筒。</w:t>
            </w:r>
          </w:p>
        </w:tc>
        <w:tc>
          <w:tcPr>
            <w:tcW w:w="36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满足《大气污染物综合排放标准》（GB16297-1996）表2颗粒物有组织排放二级标准限值的要求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760" w:type="dxa"/>
            <w:tcBorders>
              <w:top w:val="single" w:color="000000" w:sz="4" w:space="0"/>
              <w:left w:val="single" w:color="000000" w:sz="4" w:space="0"/>
              <w:bottom w:val="single" w:color="000000" w:sz="4" w:space="0"/>
              <w:right w:val="single" w:color="000000" w:sz="4" w:space="0"/>
            </w:tcBorders>
            <w:vAlign w:val="center"/>
          </w:tcPr>
          <w:p/>
        </w:tc>
        <w:tc>
          <w:tcPr>
            <w:tcW w:w="14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噪声</w:t>
            </w:r>
          </w:p>
        </w:tc>
        <w:tc>
          <w:tcPr>
            <w:tcW w:w="3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基础减震、厂房隔声</w:t>
            </w:r>
          </w:p>
        </w:tc>
        <w:tc>
          <w:tcPr>
            <w:tcW w:w="36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厂界噪声达标排放</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40" w:hRule="atLeast"/>
          <w:jc w:val="center"/>
        </w:trPr>
        <w:tc>
          <w:tcPr>
            <w:tcW w:w="76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废水</w:t>
            </w:r>
          </w:p>
        </w:tc>
        <w:tc>
          <w:tcPr>
            <w:tcW w:w="14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生活污水</w:t>
            </w:r>
          </w:p>
        </w:tc>
        <w:tc>
          <w:tcPr>
            <w:tcW w:w="3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全部排入化粪池（1x5m3）</w:t>
            </w:r>
          </w:p>
        </w:tc>
        <w:tc>
          <w:tcPr>
            <w:tcW w:w="36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由企业定期清运，用于沤制农家肥。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4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固废</w:t>
            </w:r>
          </w:p>
        </w:tc>
        <w:tc>
          <w:tcPr>
            <w:tcW w:w="14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生活垃圾</w:t>
            </w:r>
          </w:p>
        </w:tc>
        <w:tc>
          <w:tcPr>
            <w:tcW w:w="3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垃圾桶若干</w:t>
            </w:r>
          </w:p>
        </w:tc>
        <w:tc>
          <w:tcPr>
            <w:tcW w:w="36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当地环卫部门定期清运</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760" w:type="dxa"/>
            <w:vMerge w:val="continue"/>
            <w:tcBorders>
              <w:left w:val="single" w:color="000000" w:sz="4" w:space="0"/>
            </w:tcBorders>
          </w:tcPr>
          <w:p/>
        </w:tc>
        <w:tc>
          <w:tcPr>
            <w:tcW w:w="14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废边角料</w:t>
            </w:r>
          </w:p>
        </w:tc>
        <w:tc>
          <w:tcPr>
            <w:tcW w:w="34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一座一般固废暂存间</w:t>
            </w:r>
          </w:p>
        </w:tc>
        <w:tc>
          <w:tcPr>
            <w:tcW w:w="368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暂存后外售给废品收购单位</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jc w:val="center"/>
        </w:trPr>
        <w:tc>
          <w:tcPr>
            <w:tcW w:w="760" w:type="dxa"/>
            <w:vMerge w:val="continue"/>
            <w:tcBorders>
              <w:left w:val="single" w:color="000000" w:sz="4" w:space="0"/>
            </w:tcBorders>
          </w:tcPr>
          <w:p/>
        </w:tc>
        <w:tc>
          <w:tcPr>
            <w:tcW w:w="14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4"/>
              </w:rPr>
            </w:pPr>
            <w:r>
              <w:rPr>
                <w:rFonts w:hint="eastAsia" w:ascii="宋体" w:hAnsi="宋体" w:eastAsia="宋体"/>
                <w:color w:val="000000"/>
                <w:sz w:val="24"/>
              </w:rPr>
              <w:t>木屑</w:t>
            </w:r>
          </w:p>
        </w:tc>
        <w:tc>
          <w:tcPr>
            <w:tcW w:w="3480" w:type="dxa"/>
            <w:vMerge w:val="continue"/>
            <w:tcBorders>
              <w:left w:val="single" w:color="000000" w:sz="4" w:space="0"/>
            </w:tcBorders>
          </w:tcPr>
          <w:p/>
        </w:tc>
        <w:tc>
          <w:tcPr>
            <w:tcW w:w="3680" w:type="dxa"/>
            <w:vMerge w:val="continue"/>
            <w:tcBorders>
              <w:left w:val="single" w:color="000000" w:sz="4" w:space="0"/>
            </w:tcBorders>
          </w:tcPr>
          <w:p/>
        </w:tc>
      </w:tr>
    </w:tbl>
    <w:p>
      <w:pPr>
        <w:spacing w:line="1" w:lineRule="exact"/>
        <w:sectPr>
          <w:footerReference r:id="rId37" w:type="default"/>
          <w:type w:val="continuous"/>
          <w:pgSz w:w="11900" w:h="16820"/>
          <w:pgMar w:top="1200" w:right="1200" w:bottom="2880" w:left="1200" w:header="600" w:footer="1440" w:gutter="0"/>
          <w:cols w:space="720" w:num="1"/>
        </w:sectPr>
      </w:pPr>
    </w:p>
    <w:p>
      <w:pPr>
        <w:spacing w:line="216" w:lineRule="auto"/>
        <w:ind w:firstLine="0"/>
        <w:jc w:val="both"/>
        <w:rPr>
          <w:sz w:val="30"/>
        </w:rPr>
      </w:pPr>
      <w:r>
        <w:rPr>
          <w:rFonts w:hint="eastAsia" w:ascii="宋体" w:hAnsi="宋体" w:eastAsia="宋体"/>
          <w:color w:val="000000"/>
          <w:sz w:val="30"/>
        </w:rPr>
        <w:t>建设项目拟采取的防治措施及预期治理效果</w:t>
      </w:r>
    </w:p>
    <w:tbl>
      <w:tblPr>
        <w:tblStyle w:val="2"/>
        <w:tblW w:w="95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675"/>
        <w:gridCol w:w="1696"/>
        <w:gridCol w:w="1307"/>
        <w:gridCol w:w="3718"/>
        <w:gridCol w:w="114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800" w:hRule="atLeast"/>
          <w:jc w:val="center"/>
        </w:trPr>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内容类型</w:t>
            </w:r>
          </w:p>
        </w:tc>
        <w:tc>
          <w:tcPr>
            <w:tcW w:w="1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排放源（编号）</w:t>
            </w:r>
          </w:p>
        </w:tc>
        <w:tc>
          <w:tcPr>
            <w:tcW w:w="12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污染物名称</w:t>
            </w:r>
          </w:p>
        </w:tc>
        <w:tc>
          <w:tcPr>
            <w:tcW w:w="3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污染治理措施</w:t>
            </w:r>
          </w:p>
        </w:tc>
        <w:tc>
          <w:tcPr>
            <w:tcW w:w="11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预期治理效果</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600" w:hRule="atLeast"/>
          <w:jc w:val="center"/>
        </w:trPr>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大气污染物</w:t>
            </w:r>
          </w:p>
        </w:tc>
        <w:tc>
          <w:tcPr>
            <w:tcW w:w="1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下料、木工</w:t>
            </w:r>
          </w:p>
        </w:tc>
        <w:tc>
          <w:tcPr>
            <w:tcW w:w="12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粉尘</w:t>
            </w:r>
          </w:p>
        </w:tc>
        <w:tc>
          <w:tcPr>
            <w:tcW w:w="3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在精密锯、裁板机、雕刻机、打孔机上方分别安装一个集气罩，之后由引风机引至一台布袋除尘器集中处理，最终由15m高排气筒外排。</w:t>
            </w:r>
          </w:p>
        </w:tc>
        <w:tc>
          <w:tcPr>
            <w:tcW w:w="11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达标排放</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jc w:val="center"/>
        </w:trPr>
        <w:tc>
          <w:tcPr>
            <w:tcW w:w="16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固体废物</w:t>
            </w:r>
          </w:p>
        </w:tc>
        <w:tc>
          <w:tcPr>
            <w:tcW w:w="1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职工生活</w:t>
            </w:r>
          </w:p>
        </w:tc>
        <w:tc>
          <w:tcPr>
            <w:tcW w:w="12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3"/>
              </w:rPr>
            </w:pPr>
            <w:r>
              <w:rPr>
                <w:rFonts w:hint="eastAsia" w:ascii="宋体" w:hAnsi="宋体" w:eastAsia="宋体"/>
                <w:color w:val="000000"/>
                <w:sz w:val="23"/>
              </w:rPr>
              <w:t>生活垃圾</w:t>
            </w:r>
          </w:p>
        </w:tc>
        <w:tc>
          <w:tcPr>
            <w:tcW w:w="3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垃圾桶若干</w:t>
            </w:r>
          </w:p>
        </w:tc>
        <w:tc>
          <w:tcPr>
            <w:tcW w:w="112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综合利用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640" w:type="dxa"/>
            <w:vMerge w:val="continue"/>
            <w:tcBorders>
              <w:left w:val="single" w:color="000000" w:sz="4" w:space="0"/>
            </w:tcBorders>
          </w:tcPr>
          <w:p/>
        </w:tc>
        <w:tc>
          <w:tcPr>
            <w:tcW w:w="16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下料、木工</w:t>
            </w:r>
          </w:p>
        </w:tc>
        <w:tc>
          <w:tcPr>
            <w:tcW w:w="12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废边角料</w:t>
            </w:r>
          </w:p>
        </w:tc>
        <w:tc>
          <w:tcPr>
            <w:tcW w:w="364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设置一座专门的一般固废暂存间，废边角料、木屑集中在固废间暂存后外售给废品收购单位</w:t>
            </w:r>
          </w:p>
        </w:tc>
        <w:tc>
          <w:tcPr>
            <w:tcW w:w="112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80" w:hRule="atLeast"/>
          <w:jc w:val="center"/>
        </w:trPr>
        <w:tc>
          <w:tcPr>
            <w:tcW w:w="1640" w:type="dxa"/>
            <w:vMerge w:val="continue"/>
            <w:tcBorders>
              <w:left w:val="single" w:color="000000" w:sz="4" w:space="0"/>
            </w:tcBorders>
          </w:tcPr>
          <w:p/>
        </w:tc>
        <w:tc>
          <w:tcPr>
            <w:tcW w:w="1660" w:type="dxa"/>
            <w:vMerge w:val="continue"/>
            <w:tcBorders>
              <w:left w:val="single" w:color="000000" w:sz="4" w:space="0"/>
            </w:tcBorders>
          </w:tcPr>
          <w:p/>
        </w:tc>
        <w:tc>
          <w:tcPr>
            <w:tcW w:w="12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木屑</w:t>
            </w:r>
          </w:p>
        </w:tc>
        <w:tc>
          <w:tcPr>
            <w:tcW w:w="3640" w:type="dxa"/>
            <w:vMerge w:val="continue"/>
            <w:tcBorders>
              <w:left w:val="single" w:color="000000" w:sz="4" w:space="0"/>
            </w:tcBorders>
          </w:tcPr>
          <w:p/>
        </w:tc>
        <w:tc>
          <w:tcPr>
            <w:tcW w:w="1120" w:type="dxa"/>
            <w:vMerge w:val="continue"/>
            <w:tcBorders>
              <w:left w:val="single" w:color="000000" w:sz="4" w:space="0"/>
            </w:tcBorders>
          </w:tc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jc w:val="center"/>
        </w:trPr>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噪声</w:t>
            </w:r>
          </w:p>
        </w:tc>
        <w:tc>
          <w:tcPr>
            <w:tcW w:w="1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生产设备</w:t>
            </w:r>
          </w:p>
        </w:tc>
        <w:tc>
          <w:tcPr>
            <w:tcW w:w="12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噪声</w:t>
            </w:r>
          </w:p>
        </w:tc>
        <w:tc>
          <w:tcPr>
            <w:tcW w:w="3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基础减震、厂房隔声</w:t>
            </w:r>
          </w:p>
        </w:tc>
        <w:tc>
          <w:tcPr>
            <w:tcW w:w="11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达标排放</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800" w:hRule="atLeast"/>
          <w:jc w:val="center"/>
        </w:trPr>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5"/>
              </w:rPr>
            </w:pPr>
            <w:r>
              <w:rPr>
                <w:rFonts w:hint="eastAsia" w:ascii="宋体" w:hAnsi="宋体" w:eastAsia="宋体"/>
                <w:color w:val="000000"/>
                <w:sz w:val="25"/>
              </w:rPr>
              <w:t>废水</w:t>
            </w:r>
          </w:p>
        </w:tc>
        <w:tc>
          <w:tcPr>
            <w:tcW w:w="166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职工生活</w:t>
            </w:r>
          </w:p>
        </w:tc>
        <w:tc>
          <w:tcPr>
            <w:tcW w:w="12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生活污水</w:t>
            </w:r>
          </w:p>
        </w:tc>
        <w:tc>
          <w:tcPr>
            <w:tcW w:w="36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宋体" w:hAnsi="宋体" w:eastAsia="宋体"/>
                <w:color w:val="000000"/>
                <w:sz w:val="21"/>
              </w:rPr>
              <w:t>全部排入化粪池（1x5m3）处理后，由企业定期清运，用于沤制农家肥。</w:t>
            </w:r>
          </w:p>
        </w:tc>
        <w:tc>
          <w:tcPr>
            <w:tcW w:w="11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1"/>
              </w:rPr>
            </w:pPr>
            <w:r>
              <w:rPr>
                <w:rFonts w:hint="eastAsia" w:ascii="Calibri" w:hAnsi="Calibri" w:eastAsia="Calibri"/>
                <w:color w:val="000000"/>
                <w:sz w:val="21"/>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840" w:hRule="atLeast"/>
          <w:jc w:val="center"/>
        </w:trPr>
        <w:tc>
          <w:tcPr>
            <w:tcW w:w="934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5"/>
              </w:rPr>
            </w:pPr>
            <w:r>
              <w:rPr>
                <w:rFonts w:hint="eastAsia" w:ascii="宋体" w:hAnsi="宋体" w:eastAsia="宋体"/>
                <w:color w:val="000000"/>
                <w:sz w:val="25"/>
              </w:rPr>
              <w:t>生态保护保护措施及预期效果本项目位于滑县白道口镇白道口村，该区域人类活动频繁，厂区周边无珍稀动、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34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植物，生态系统主要为村镇生态系统和农田生态系统，项目营运期生产活动全部在厂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040" w:hRule="atLeast"/>
          <w:jc w:val="center"/>
        </w:trPr>
        <w:tc>
          <w:tcPr>
            <w:tcW w:w="9340"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房内部进行，对周围生态影响不大。</w:t>
            </w:r>
          </w:p>
        </w:tc>
      </w:tr>
    </w:tbl>
    <w:p>
      <w:pPr>
        <w:spacing w:line="1" w:lineRule="exact"/>
        <w:sectPr>
          <w:footerReference r:id="rId38" w:type="default"/>
          <w:type w:val="continuous"/>
          <w:pgSz w:w="11900" w:h="16820"/>
          <w:pgMar w:top="1200" w:right="1200" w:bottom="1440" w:left="1200" w:header="600" w:footer="720" w:gutter="0"/>
          <w:cols w:space="720" w:num="1"/>
        </w:sectPr>
      </w:pPr>
    </w:p>
    <w:p>
      <w:pPr>
        <w:spacing w:line="240" w:lineRule="auto"/>
        <w:ind w:firstLine="0"/>
        <w:jc w:val="both"/>
        <w:rPr>
          <w:sz w:val="24"/>
        </w:rPr>
      </w:pPr>
      <w:r>
        <w:rPr>
          <w:rFonts w:hint="eastAsia" w:ascii="宋体" w:hAnsi="宋体" w:eastAsia="宋体"/>
          <w:color w:val="000000"/>
          <w:sz w:val="24"/>
        </w:rPr>
        <w:t>1、项目概况</w:t>
      </w:r>
    </w:p>
    <w:p>
      <w:pPr>
        <w:spacing w:line="240" w:lineRule="auto"/>
        <w:ind w:firstLine="0"/>
        <w:jc w:val="both"/>
        <w:rPr>
          <w:sz w:val="24"/>
        </w:rPr>
      </w:pPr>
    </w:p>
    <w:p>
      <w:pPr>
        <w:spacing w:line="240" w:lineRule="auto"/>
        <w:ind w:firstLine="480"/>
        <w:jc w:val="both"/>
        <w:rPr>
          <w:sz w:val="24"/>
        </w:rPr>
      </w:pPr>
      <w:r>
        <w:rPr>
          <w:rFonts w:hint="eastAsia" w:ascii="宋体" w:hAnsi="宋体" w:eastAsia="宋体"/>
          <w:color w:val="000000"/>
          <w:sz w:val="24"/>
        </w:rPr>
        <w:t>滑县白道口博骏</w:t>
      </w:r>
      <w:r>
        <w:rPr>
          <w:rFonts w:hint="eastAsia" w:ascii="宋体" w:hAnsi="宋体" w:eastAsia="宋体"/>
          <w:color w:val="000000"/>
          <w:sz w:val="24"/>
          <w:lang w:eastAsia="zh-CN"/>
        </w:rPr>
        <w:t>家具</w:t>
      </w:r>
      <w:r>
        <w:rPr>
          <w:rFonts w:hint="eastAsia" w:ascii="宋体" w:hAnsi="宋体" w:eastAsia="宋体"/>
          <w:color w:val="000000"/>
          <w:sz w:val="24"/>
        </w:rPr>
        <w:t>厂是一家专门木质家具生产的企业，目前拟投资20万元在滑</w:t>
      </w:r>
    </w:p>
    <w:tbl>
      <w:tblPr>
        <w:tblStyle w:val="2"/>
        <w:tblW w:w="97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7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9300" w:hRule="atLeast"/>
          <w:jc w:val="center"/>
        </w:trPr>
        <w:tc>
          <w:tcPr>
            <w:tcW w:w="93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480"/>
              <w:jc w:val="both"/>
              <w:rPr>
                <w:sz w:val="24"/>
              </w:rPr>
            </w:pPr>
            <w:r>
              <w:rPr>
                <w:rFonts w:hint="eastAsia" w:ascii="宋体" w:hAnsi="宋体" w:eastAsia="宋体"/>
                <w:color w:val="000000"/>
                <w:sz w:val="24"/>
              </w:rPr>
              <w:t>县白道口镇白道口村东头路南投资建设年产200套免漆家具建设项目。本项目租用滑县白道口镇东</w:t>
            </w:r>
            <w:r>
              <w:rPr>
                <w:rFonts w:hint="eastAsia" w:ascii="宋体" w:hAnsi="宋体" w:eastAsia="宋体"/>
                <w:color w:val="000000"/>
                <w:sz w:val="24"/>
                <w:lang w:eastAsia="zh-CN"/>
              </w:rPr>
              <w:t>家具</w:t>
            </w:r>
            <w:r>
              <w:rPr>
                <w:rFonts w:hint="eastAsia" w:ascii="宋体" w:hAnsi="宋体" w:eastAsia="宋体"/>
                <w:color w:val="000000"/>
                <w:sz w:val="24"/>
              </w:rPr>
              <w:t>厂闲置厂房进行建设（由于经营不善滑县白道口镇东</w:t>
            </w:r>
            <w:r>
              <w:rPr>
                <w:rFonts w:hint="eastAsia" w:ascii="宋体" w:hAnsi="宋体" w:eastAsia="宋体"/>
                <w:color w:val="000000"/>
                <w:sz w:val="24"/>
                <w:lang w:eastAsia="zh-CN"/>
              </w:rPr>
              <w:t>家具</w:t>
            </w:r>
            <w:r>
              <w:rPr>
                <w:rFonts w:hint="eastAsia" w:ascii="宋体" w:hAnsi="宋体" w:eastAsia="宋体"/>
                <w:color w:val="000000"/>
                <w:sz w:val="24"/>
              </w:rPr>
              <w:t>厂已经倒闭，根据调查该厂无环评手续），该项目主要产品包括衣柜、低柜、梳妆台、大床，年产200套。</w:t>
            </w:r>
          </w:p>
          <w:p>
            <w:pPr>
              <w:spacing w:line="240" w:lineRule="auto"/>
              <w:ind w:firstLine="0"/>
              <w:jc w:val="both"/>
              <w:rPr>
                <w:sz w:val="24"/>
              </w:rPr>
            </w:pPr>
            <w:r>
              <w:rPr>
                <w:rFonts w:hint="eastAsia" w:ascii="宋体" w:hAnsi="宋体" w:eastAsia="宋体"/>
                <w:color w:val="000000"/>
                <w:sz w:val="24"/>
              </w:rPr>
              <w:t>2、产业政策、选址合理性分析</w:t>
            </w:r>
          </w:p>
          <w:p>
            <w:pPr>
              <w:spacing w:line="240" w:lineRule="auto"/>
              <w:ind w:firstLine="480"/>
              <w:jc w:val="both"/>
              <w:rPr>
                <w:sz w:val="24"/>
              </w:rPr>
            </w:pPr>
            <w:r>
              <w:rPr>
                <w:rFonts w:hint="eastAsia" w:ascii="宋体" w:hAnsi="宋体" w:eastAsia="宋体"/>
                <w:color w:val="000000"/>
                <w:sz w:val="24"/>
              </w:rPr>
              <w:t>2.1产业政策相符性分析</w:t>
            </w:r>
          </w:p>
          <w:p>
            <w:pPr>
              <w:spacing w:line="240" w:lineRule="auto"/>
              <w:ind w:firstLine="480"/>
              <w:jc w:val="both"/>
              <w:rPr>
                <w:sz w:val="24"/>
              </w:rPr>
            </w:pPr>
            <w:r>
              <w:rPr>
                <w:rFonts w:hint="eastAsia" w:ascii="宋体" w:hAnsi="宋体" w:eastAsia="宋体"/>
                <w:color w:val="000000"/>
                <w:sz w:val="24"/>
              </w:rPr>
              <w:t>根据《产业结构调整指导目录（2011年本）》（2013年修正），本项目不属于鼓励类、淘汰类、限制类，为允许类，符合国家产业政策要求。</w:t>
            </w:r>
          </w:p>
          <w:p>
            <w:pPr>
              <w:spacing w:line="240" w:lineRule="auto"/>
              <w:ind w:firstLine="480"/>
              <w:jc w:val="both"/>
              <w:rPr>
                <w:sz w:val="24"/>
              </w:rPr>
            </w:pPr>
            <w:r>
              <w:rPr>
                <w:rFonts w:hint="eastAsia" w:ascii="宋体" w:hAnsi="宋体" w:eastAsia="宋体"/>
                <w:color w:val="000000"/>
                <w:sz w:val="24"/>
              </w:rPr>
              <w:t>2.2选址合理性</w:t>
            </w:r>
          </w:p>
          <w:p>
            <w:pPr>
              <w:spacing w:line="240" w:lineRule="auto"/>
              <w:ind w:firstLine="480"/>
              <w:jc w:val="both"/>
              <w:rPr>
                <w:sz w:val="24"/>
              </w:rPr>
            </w:pPr>
            <w:r>
              <w:rPr>
                <w:rFonts w:hint="eastAsia" w:ascii="宋体" w:hAnsi="宋体" w:eastAsia="宋体"/>
                <w:color w:val="000000"/>
                <w:sz w:val="24"/>
              </w:rPr>
              <w:t>本项目拟建于滑县白道口镇白道口村东头路南，根据现场调查，租赁用地范围内已建有空置厂房，该目不需新建厂房，全部利用已有空置厂房，该项目用地南边界、西边界、东边界外均为农田；厂界北侧为闲置仓库，隔闲置仓库为镇东家具城。在采取有效可行的治理措施后，本项目产生的污染物均能够达标排放。另外该项目用地经滑县白道口镇人民政府村镇规划建设土地管理所同意，符合白道口镇土地利用规划，因此，该项目选址合理可行。</w:t>
            </w:r>
          </w:p>
          <w:p>
            <w:pPr>
              <w:spacing w:line="240" w:lineRule="auto"/>
              <w:ind w:firstLine="0"/>
              <w:jc w:val="both"/>
              <w:rPr>
                <w:sz w:val="24"/>
              </w:rPr>
            </w:pPr>
            <w:r>
              <w:rPr>
                <w:rFonts w:hint="eastAsia" w:ascii="宋体" w:hAnsi="宋体" w:eastAsia="宋体"/>
                <w:color w:val="000000"/>
                <w:sz w:val="24"/>
              </w:rPr>
              <w:t>3、环境质量现状结论</w:t>
            </w:r>
          </w:p>
          <w:p>
            <w:pPr>
              <w:spacing w:line="240" w:lineRule="auto"/>
              <w:ind w:firstLine="480"/>
              <w:jc w:val="both"/>
              <w:rPr>
                <w:sz w:val="24"/>
              </w:rPr>
            </w:pPr>
            <w:r>
              <w:rPr>
                <w:rFonts w:hint="eastAsia" w:ascii="宋体" w:hAnsi="宋体" w:eastAsia="宋体"/>
                <w:color w:val="000000"/>
                <w:sz w:val="24"/>
              </w:rPr>
              <w:t>①大气环境</w:t>
            </w:r>
          </w:p>
          <w:p>
            <w:pPr>
              <w:spacing w:line="240" w:lineRule="auto"/>
              <w:ind w:firstLine="480"/>
              <w:jc w:val="both"/>
              <w:rPr>
                <w:sz w:val="24"/>
              </w:rPr>
            </w:pPr>
            <w:r>
              <w:rPr>
                <w:rFonts w:hint="eastAsia" w:ascii="宋体" w:hAnsi="宋体" w:eastAsia="宋体"/>
                <w:color w:val="000000"/>
                <w:sz w:val="24"/>
              </w:rPr>
              <w:t>该项目所在地属大气环境质量二类区，执行《环境空气质量标准（GB3095-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3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480"/>
              <w:jc w:val="both"/>
              <w:rPr>
                <w:sz w:val="24"/>
              </w:rPr>
            </w:pPr>
            <w:r>
              <w:rPr>
                <w:rFonts w:hint="eastAsia" w:ascii="宋体" w:hAnsi="宋体" w:eastAsia="宋体"/>
                <w:color w:val="000000"/>
                <w:sz w:val="24"/>
              </w:rPr>
              <w:t>2012）》的二级标准。由“河南省环保厅网站最新检测数据”可知，区域SO2、NO2、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3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480"/>
              <w:jc w:val="both"/>
              <w:rPr>
                <w:sz w:val="24"/>
              </w:rPr>
            </w:pPr>
            <w:r>
              <w:rPr>
                <w:rFonts w:hint="eastAsia" w:ascii="宋体" w:hAnsi="宋体" w:eastAsia="宋体"/>
                <w:color w:val="000000"/>
                <w:sz w:val="24"/>
              </w:rPr>
              <w:t>PM10、PM25、CO、O3均可满足《环境空气质量标准》（GB3095-2012）表1二级标准</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120" w:hRule="atLeast"/>
          <w:jc w:val="center"/>
        </w:trPr>
        <w:tc>
          <w:tcPr>
            <w:tcW w:w="93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480"/>
              <w:jc w:val="both"/>
              <w:rPr>
                <w:sz w:val="24"/>
              </w:rPr>
            </w:pPr>
            <w:r>
              <w:rPr>
                <w:rFonts w:hint="eastAsia" w:ascii="宋体" w:hAnsi="宋体" w:eastAsia="宋体"/>
                <w:color w:val="000000"/>
                <w:sz w:val="24"/>
              </w:rPr>
              <w:t>要求。项目所在区域环境空气质量现状较好。</w:t>
            </w:r>
          </w:p>
          <w:p>
            <w:pPr>
              <w:spacing w:line="240" w:lineRule="auto"/>
              <w:ind w:firstLine="480"/>
              <w:jc w:val="both"/>
              <w:rPr>
                <w:sz w:val="24"/>
              </w:rPr>
            </w:pPr>
            <w:r>
              <w:rPr>
                <w:rFonts w:hint="eastAsia" w:ascii="宋体" w:hAnsi="宋体" w:eastAsia="宋体"/>
                <w:color w:val="000000"/>
                <w:sz w:val="24"/>
              </w:rPr>
              <w:t>②地表水</w:t>
            </w:r>
          </w:p>
          <w:p>
            <w:pPr>
              <w:spacing w:line="240" w:lineRule="auto"/>
              <w:ind w:firstLine="480"/>
              <w:jc w:val="both"/>
              <w:rPr>
                <w:sz w:val="24"/>
              </w:rPr>
            </w:pPr>
            <w:r>
              <w:rPr>
                <w:rFonts w:hint="eastAsia" w:ascii="宋体" w:hAnsi="宋体" w:eastAsia="宋体"/>
                <w:color w:val="000000"/>
                <w:sz w:val="24"/>
              </w:rPr>
              <w:t>本项目周边最近的河流为南侧约1420m的金堤河。根据“河南省2017年第48期河南省地表水环境责任目标断面水质周报”中金堤河濮阳大韩桥断面监测数据，金堤</w:t>
            </w:r>
          </w:p>
        </w:tc>
      </w:tr>
    </w:tbl>
    <w:p>
      <w:pPr>
        <w:spacing w:line="240" w:lineRule="auto"/>
        <w:ind w:firstLine="480"/>
        <w:jc w:val="both"/>
        <w:rPr>
          <w:sz w:val="24"/>
        </w:rPr>
        <w:sectPr>
          <w:headerReference r:id="rId39" w:type="default"/>
          <w:footerReference r:id="rId40" w:type="default"/>
          <w:type w:val="continuous"/>
          <w:pgSz w:w="11900" w:h="16820"/>
          <w:pgMar w:top="1680" w:right="1200" w:bottom="960" w:left="1200" w:header="840" w:footer="480" w:gutter="0"/>
          <w:cols w:space="720" w:num="1"/>
        </w:sectPr>
      </w:pPr>
      <w:r>
        <w:rPr>
          <w:rFonts w:hint="eastAsia" w:ascii="宋体" w:hAnsi="宋体" w:eastAsia="宋体"/>
          <w:color w:val="000000"/>
          <w:sz w:val="24"/>
        </w:rPr>
        <w:t>本项目周边最近的河流为南侧约1420m的金堤河。根据“河南省2017年第48期河南省地表水环境责任目标断面水质周报”中金堤河濮阳大韩桥断面监测数据，金堤河濮阳大韩桥断面地表水环境质量可以满足《地表水环境质量标准》（GB3838-2002）</w:t>
      </w:r>
    </w:p>
    <w:tbl>
      <w:tblPr>
        <w:tblStyle w:val="2"/>
        <w:tblW w:w="100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000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18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5"/>
              </w:rPr>
            </w:pPr>
            <w:r>
              <w:rPr>
                <w:rFonts w:hint="eastAsia" w:ascii="宋体" w:hAnsi="宋体" w:eastAsia="宋体"/>
                <w:color w:val="000000"/>
                <w:sz w:val="25"/>
              </w:rPr>
              <w:t>V类标准。</w:t>
            </w:r>
          </w:p>
          <w:p>
            <w:pPr>
              <w:spacing w:line="240" w:lineRule="auto"/>
              <w:ind w:firstLine="500"/>
              <w:jc w:val="both"/>
              <w:rPr>
                <w:sz w:val="25"/>
              </w:rPr>
            </w:pPr>
            <w:r>
              <w:rPr>
                <w:rFonts w:hint="eastAsia" w:ascii="宋体" w:hAnsi="宋体" w:eastAsia="宋体"/>
                <w:color w:val="000000"/>
                <w:sz w:val="25"/>
              </w:rPr>
              <w:t>③声环境</w:t>
            </w:r>
          </w:p>
          <w:p>
            <w:pPr>
              <w:spacing w:line="240" w:lineRule="auto"/>
              <w:ind w:firstLine="500"/>
              <w:jc w:val="both"/>
              <w:rPr>
                <w:sz w:val="25"/>
              </w:rPr>
            </w:pPr>
            <w:r>
              <w:rPr>
                <w:rFonts w:hint="eastAsia" w:ascii="宋体" w:hAnsi="宋体" w:eastAsia="宋体"/>
                <w:color w:val="000000"/>
                <w:sz w:val="25"/>
              </w:rPr>
              <w:t>经调查该区域的声环境噪声值昼间为52dB（A），夜间为42dB（A），满足所在噪声功能区《声环境质量标准》（GB3096-2008）2类标准规定的昼间60dB（A）、夜间50dB（A）的标准要求。</w:t>
            </w:r>
          </w:p>
          <w:p>
            <w:pPr>
              <w:spacing w:line="240" w:lineRule="auto"/>
              <w:ind w:firstLine="0"/>
              <w:jc w:val="both"/>
              <w:rPr>
                <w:sz w:val="25"/>
              </w:rPr>
            </w:pPr>
            <w:r>
              <w:rPr>
                <w:rFonts w:hint="eastAsia" w:ascii="宋体" w:hAnsi="宋体" w:eastAsia="宋体"/>
                <w:color w:val="000000"/>
                <w:sz w:val="25"/>
              </w:rPr>
              <w:t>4、环境影响分析结论</w:t>
            </w:r>
          </w:p>
          <w:p>
            <w:pPr>
              <w:spacing w:line="240" w:lineRule="auto"/>
              <w:ind w:firstLine="500"/>
              <w:jc w:val="both"/>
              <w:rPr>
                <w:sz w:val="25"/>
              </w:rPr>
            </w:pPr>
            <w:r>
              <w:rPr>
                <w:rFonts w:hint="eastAsia" w:ascii="宋体" w:hAnsi="宋体" w:eastAsia="宋体"/>
                <w:color w:val="000000"/>
                <w:sz w:val="25"/>
              </w:rPr>
              <w:t>①废气</w:t>
            </w:r>
          </w:p>
          <w:p>
            <w:pPr>
              <w:spacing w:line="240" w:lineRule="auto"/>
              <w:ind w:firstLine="500"/>
              <w:jc w:val="both"/>
              <w:rPr>
                <w:sz w:val="25"/>
              </w:rPr>
            </w:pPr>
            <w:r>
              <w:rPr>
                <w:rFonts w:hint="eastAsia" w:ascii="宋体" w:hAnsi="宋体" w:eastAsia="宋体"/>
                <w:color w:val="000000"/>
                <w:sz w:val="25"/>
              </w:rPr>
              <w:t>项目产生的废气主要为免漆木板、松木板在裁板、雕刻及打孔过程中产生的木屑</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粉尘。根据前述分析，木屑粉尘在采取布袋除尘器的处理措施后，有组织排放速率为</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Calibri" w:hAnsi="Calibri" w:eastAsia="Calibri"/>
                <w:color w:val="000000"/>
                <w:sz w:val="25"/>
              </w:rPr>
              <w:t>0.00196kg／h，排放浓度为1.963mg／m3，均可满足GB16297-1996《大气污染物综合排放</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8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标准》中颗粒物二级排放标准要求（排放速率0.35kg／h，排放浓度120mg／m3）。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2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各厂界木屑粉尘无组织浓度能够满足《大气污染物综合排放标准》（GB16297-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1996）表2二级标准限值要求。无组织粉尘最大落地浓度为0.002334mg／m3，能够满足</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8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《环境空气质量标准》（GB 3095-2012）TSP二级标准限值（300ug／m3）的要求。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4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针对无组织粉尘，项目不需要设置大气环境防护距离，需要设置50m的卫生防护</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距离。根据现场调查，生产车间卫生防护距离包络区域内无学校、医院、村庄（居住</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58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区）等敏感点。③废水本项目生产过程中无废水产生，废水主要为员工洗漱废水。洗漱废水经化粪池处</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360" w:hRule="atLeast"/>
          <w:jc w:val="center"/>
        </w:trPr>
        <w:tc>
          <w:tcPr>
            <w:tcW w:w="95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500"/>
              <w:jc w:val="both"/>
              <w:rPr>
                <w:sz w:val="25"/>
              </w:rPr>
            </w:pPr>
            <w:r>
              <w:rPr>
                <w:rFonts w:hint="eastAsia" w:ascii="宋体" w:hAnsi="宋体" w:eastAsia="宋体"/>
                <w:color w:val="000000"/>
                <w:sz w:val="25"/>
              </w:rPr>
              <w:t>理后，由企业定期清运，用于沤制农家肥。</w:t>
            </w:r>
          </w:p>
          <w:p>
            <w:pPr>
              <w:spacing w:line="240" w:lineRule="auto"/>
              <w:ind w:firstLine="500"/>
              <w:jc w:val="both"/>
              <w:rPr>
                <w:sz w:val="25"/>
              </w:rPr>
            </w:pPr>
            <w:r>
              <w:rPr>
                <w:rFonts w:hint="eastAsia" w:ascii="宋体" w:hAnsi="宋体" w:eastAsia="宋体"/>
                <w:color w:val="000000"/>
                <w:sz w:val="25"/>
              </w:rPr>
              <w:t>④固体废物</w:t>
            </w:r>
          </w:p>
          <w:p>
            <w:pPr>
              <w:spacing w:line="240" w:lineRule="auto"/>
              <w:ind w:firstLine="500"/>
              <w:jc w:val="both"/>
              <w:rPr>
                <w:sz w:val="25"/>
              </w:rPr>
            </w:pPr>
            <w:r>
              <w:rPr>
                <w:rFonts w:hint="eastAsia" w:ascii="宋体" w:hAnsi="宋体" w:eastAsia="宋体"/>
                <w:color w:val="000000"/>
                <w:sz w:val="25"/>
              </w:rPr>
              <w:t>固废主要为生活垃圾、废边角料、除尘器收集的粉尘，均为一般固体废物。</w:t>
            </w:r>
          </w:p>
          <w:p>
            <w:pPr>
              <w:spacing w:line="240" w:lineRule="auto"/>
              <w:ind w:firstLine="500"/>
              <w:jc w:val="both"/>
              <w:rPr>
                <w:sz w:val="25"/>
              </w:rPr>
            </w:pPr>
            <w:r>
              <w:rPr>
                <w:rFonts w:hint="eastAsia" w:ascii="宋体" w:hAnsi="宋体" w:eastAsia="宋体"/>
                <w:color w:val="000000"/>
                <w:sz w:val="25"/>
              </w:rPr>
              <w:t>厂区内设有垃圾桶，生活垃圾集中收集至垃圾桶后，由当地环卫部门定期清运。废边角料产生量约0.77t／a、设备自带除尘器收集的木屑粉末约38.88kg／a，全部作为废品进行外售。</w:t>
            </w:r>
          </w:p>
          <w:p>
            <w:pPr>
              <w:spacing w:line="240" w:lineRule="auto"/>
              <w:ind w:firstLine="0"/>
              <w:jc w:val="both"/>
              <w:rPr>
                <w:sz w:val="25"/>
              </w:rPr>
            </w:pPr>
            <w:r>
              <w:rPr>
                <w:rFonts w:hint="eastAsia" w:ascii="宋体" w:hAnsi="宋体" w:eastAsia="宋体"/>
                <w:color w:val="000000"/>
                <w:sz w:val="25"/>
              </w:rPr>
              <w:t>5、总量控制</w:t>
            </w:r>
          </w:p>
          <w:p>
            <w:pPr>
              <w:spacing w:line="240" w:lineRule="auto"/>
              <w:ind w:firstLine="500"/>
              <w:jc w:val="both"/>
              <w:rPr>
                <w:sz w:val="25"/>
              </w:rPr>
            </w:pPr>
            <w:r>
              <w:rPr>
                <w:rFonts w:hint="eastAsia" w:ascii="宋体" w:hAnsi="宋体" w:eastAsia="宋体"/>
                <w:color w:val="000000"/>
                <w:sz w:val="25"/>
              </w:rPr>
              <w:t>本项目无生产废水产生，生活污水的主要污染因子为COD和NH3-N，经厂区化粪</w:t>
            </w:r>
          </w:p>
        </w:tc>
      </w:tr>
    </w:tbl>
    <w:p>
      <w:pPr>
        <w:spacing w:line="1" w:lineRule="exact"/>
        <w:sectPr>
          <w:footerReference r:id="rId41" w:type="default"/>
          <w:type w:val="continuous"/>
          <w:pgSz w:w="11900" w:h="16820"/>
          <w:pgMar w:top="960" w:right="960" w:bottom="1440" w:left="960" w:header="480" w:footer="720" w:gutter="0"/>
          <w:cols w:space="720" w:num="1"/>
        </w:sectPr>
      </w:pPr>
    </w:p>
    <w:tbl>
      <w:tblPr>
        <w:tblStyle w:val="2"/>
        <w:tblW w:w="95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5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480" w:hRule="atLeast"/>
          <w:jc w:val="center"/>
        </w:trPr>
        <w:tc>
          <w:tcPr>
            <w:tcW w:w="94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3"/>
              </w:rPr>
            </w:pPr>
            <w:r>
              <w:rPr>
                <w:rFonts w:hint="eastAsia" w:ascii="宋体" w:hAnsi="宋体" w:eastAsia="宋体"/>
                <w:color w:val="000000"/>
                <w:sz w:val="23"/>
              </w:rPr>
              <w:t>池处理后由企业定期清掏用于沤制农家肥，不外排。因此，本项目不涉及总量控制指标。</w:t>
            </w:r>
          </w:p>
          <w:p>
            <w:pPr>
              <w:spacing w:line="240" w:lineRule="auto"/>
              <w:ind w:firstLine="0"/>
              <w:jc w:val="both"/>
              <w:rPr>
                <w:sz w:val="23"/>
              </w:rPr>
            </w:pPr>
            <w:r>
              <w:rPr>
                <w:rFonts w:hint="eastAsia" w:ascii="宋体" w:hAnsi="宋体" w:eastAsia="宋体"/>
                <w:color w:val="000000"/>
                <w:sz w:val="23"/>
              </w:rPr>
              <w:t>6、建议与要求</w:t>
            </w:r>
          </w:p>
          <w:p>
            <w:pPr>
              <w:spacing w:line="240" w:lineRule="auto"/>
              <w:ind w:firstLine="460"/>
              <w:jc w:val="both"/>
              <w:rPr>
                <w:sz w:val="23"/>
              </w:rPr>
            </w:pPr>
            <w:r>
              <w:rPr>
                <w:rFonts w:hint="eastAsia" w:ascii="宋体" w:hAnsi="宋体" w:eastAsia="宋体"/>
                <w:color w:val="000000"/>
                <w:sz w:val="23"/>
              </w:rPr>
              <w:t>①要求企业要严格落实环评要求的各项措施，确保污染物达标排放；</w:t>
            </w:r>
          </w:p>
          <w:p>
            <w:pPr>
              <w:spacing w:line="240" w:lineRule="auto"/>
              <w:ind w:firstLine="460"/>
              <w:jc w:val="both"/>
              <w:rPr>
                <w:sz w:val="23"/>
              </w:rPr>
            </w:pPr>
            <w:r>
              <w:rPr>
                <w:rFonts w:hint="eastAsia" w:ascii="宋体" w:hAnsi="宋体" w:eastAsia="宋体"/>
                <w:color w:val="000000"/>
                <w:sz w:val="23"/>
              </w:rPr>
              <w:t>②企业积极按照评价提出的环保措施进行配置实施，并作好环保措施的检修和维护工作，尽量减少企业污染对周围环境造成的影响。</w:t>
            </w:r>
          </w:p>
          <w:p>
            <w:pPr>
              <w:spacing w:line="240" w:lineRule="auto"/>
              <w:ind w:firstLine="460"/>
              <w:jc w:val="both"/>
              <w:rPr>
                <w:sz w:val="23"/>
              </w:rPr>
            </w:pPr>
            <w:r>
              <w:rPr>
                <w:rFonts w:hint="eastAsia" w:ascii="宋体" w:hAnsi="宋体" w:eastAsia="宋体"/>
                <w:color w:val="000000"/>
                <w:sz w:val="23"/>
              </w:rPr>
              <w:t>综上所述，滑县白道口博骏</w:t>
            </w:r>
            <w:r>
              <w:rPr>
                <w:rFonts w:hint="eastAsia" w:ascii="宋体" w:hAnsi="宋体" w:eastAsia="宋体"/>
                <w:color w:val="000000"/>
                <w:sz w:val="23"/>
                <w:lang w:eastAsia="zh-CN"/>
              </w:rPr>
              <w:t>家具</w:t>
            </w:r>
            <w:r>
              <w:rPr>
                <w:rFonts w:hint="eastAsia" w:ascii="宋体" w:hAnsi="宋体" w:eastAsia="宋体"/>
                <w:color w:val="000000"/>
                <w:sz w:val="23"/>
              </w:rPr>
              <w:t>厂年产200套免漆家具建设项目符合国家产业政策，在充分落实评价提出的各项污染防治措施和建议的基础上，项目产生的污染物均能达标排放或合理处置，满足环保要求。从环保角度分析，本项目建设是可行的。</w:t>
            </w:r>
          </w:p>
        </w:tc>
      </w:tr>
    </w:tbl>
    <w:p>
      <w:pPr>
        <w:spacing w:line="1" w:lineRule="exact"/>
        <w:sectPr>
          <w:footerReference r:id="rId42" w:type="default"/>
          <w:type w:val="continuous"/>
          <w:pgSz w:w="11900" w:h="16820"/>
          <w:pgMar w:top="960" w:right="1200" w:bottom="1200" w:left="1200" w:header="480" w:footer="600" w:gutter="0"/>
          <w:cols w:space="720" w:num="1"/>
        </w:sectPr>
      </w:pPr>
    </w:p>
    <w:tbl>
      <w:tblPr>
        <w:tblStyle w:val="2"/>
        <w:tblW w:w="948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48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980" w:hRule="atLeast"/>
          <w:jc w:val="center"/>
        </w:trPr>
        <w:tc>
          <w:tcPr>
            <w:tcW w:w="94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5"/>
              </w:rPr>
            </w:pPr>
            <w:r>
              <w:rPr>
                <w:rFonts w:hint="eastAsia" w:ascii="宋体" w:hAnsi="宋体" w:eastAsia="宋体"/>
                <w:color w:val="000000"/>
                <w:sz w:val="25"/>
              </w:rPr>
              <w:t>预审意见：公章经办人：                 年 月 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700" w:hRule="atLeast"/>
          <w:jc w:val="center"/>
        </w:trPr>
        <w:tc>
          <w:tcPr>
            <w:tcW w:w="94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5"/>
              </w:rPr>
            </w:pPr>
            <w:r>
              <w:rPr>
                <w:rFonts w:hint="eastAsia" w:ascii="宋体" w:hAnsi="宋体" w:eastAsia="宋体"/>
                <w:color w:val="000000"/>
                <w:sz w:val="25"/>
              </w:rPr>
              <w:t>下一级环境保护行政主管部门审查意见：公章经办人：                   年 月 日</w:t>
            </w:r>
          </w:p>
        </w:tc>
      </w:tr>
    </w:tbl>
    <w:p>
      <w:pPr>
        <w:spacing w:line="1" w:lineRule="exact"/>
        <w:sectPr>
          <w:footerReference r:id="rId43" w:type="default"/>
          <w:type w:val="continuous"/>
          <w:pgSz w:w="11900" w:h="16820"/>
          <w:pgMar w:top="960" w:right="1200" w:bottom="1200" w:left="1200" w:header="480" w:footer="600" w:gutter="0"/>
          <w:cols w:space="720" w:num="1"/>
        </w:sectPr>
      </w:pPr>
    </w:p>
    <w:tbl>
      <w:tblPr>
        <w:tblStyle w:val="2"/>
        <w:tblW w:w="950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50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100" w:hRule="atLeast"/>
          <w:jc w:val="center"/>
        </w:trPr>
        <w:tc>
          <w:tcPr>
            <w:tcW w:w="93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4"/>
              </w:rPr>
            </w:pPr>
            <w:r>
              <w:rPr>
                <w:rFonts w:hint="eastAsia" w:ascii="宋体" w:hAnsi="宋体" w:eastAsia="宋体"/>
                <w:color w:val="000000"/>
                <w:sz w:val="24"/>
              </w:rPr>
              <w:t>审批意见：公章经办人：               年 月 日</w:t>
            </w:r>
          </w:p>
        </w:tc>
      </w:tr>
    </w:tbl>
    <w:p>
      <w:pPr>
        <w:spacing w:line="1" w:lineRule="exact"/>
        <w:sectPr>
          <w:footerReference r:id="rId44" w:type="default"/>
          <w:type w:val="continuous"/>
          <w:pgSz w:w="11900" w:h="16820"/>
          <w:pgMar w:top="960" w:right="1200" w:bottom="1680" w:left="1200" w:header="480" w:footer="840" w:gutter="0"/>
          <w:cols w:space="720" w:num="1"/>
        </w:sectPr>
      </w:pPr>
    </w:p>
    <w:tbl>
      <w:tblPr>
        <w:tblStyle w:val="2"/>
        <w:tblW w:w="914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91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220" w:hRule="atLeast"/>
          <w:jc w:val="center"/>
        </w:trPr>
        <w:tc>
          <w:tcPr>
            <w:tcW w:w="880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44"/>
              </w:rPr>
            </w:pPr>
            <w:r>
              <w:rPr>
                <w:rFonts w:hint="eastAsia" w:ascii="宋体" w:hAnsi="宋体" w:eastAsia="宋体"/>
                <w:color w:val="000000"/>
                <w:sz w:val="44"/>
              </w:rPr>
              <w:t>注 释</w:t>
            </w:r>
          </w:p>
          <w:p>
            <w:pPr>
              <w:spacing w:line="240" w:lineRule="auto"/>
              <w:ind w:firstLine="0"/>
              <w:jc w:val="both"/>
              <w:rPr>
                <w:sz w:val="24"/>
              </w:rPr>
            </w:pPr>
            <w:r>
              <w:rPr>
                <w:rFonts w:hint="eastAsia" w:ascii="宋体" w:hAnsi="宋体" w:eastAsia="宋体"/>
                <w:color w:val="000000"/>
                <w:sz w:val="24"/>
              </w:rPr>
              <w:t>一、本报告表应附以下附图、附件：</w:t>
            </w:r>
          </w:p>
          <w:p>
            <w:pPr>
              <w:spacing w:line="240" w:lineRule="auto"/>
              <w:ind w:firstLine="480"/>
              <w:jc w:val="both"/>
              <w:rPr>
                <w:sz w:val="24"/>
              </w:rPr>
            </w:pPr>
            <w:r>
              <w:rPr>
                <w:rFonts w:hint="eastAsia" w:ascii="宋体" w:hAnsi="宋体" w:eastAsia="宋体"/>
                <w:color w:val="000000"/>
                <w:sz w:val="24"/>
              </w:rPr>
              <w:t>附图一 项目地理位置示意图</w:t>
            </w:r>
          </w:p>
          <w:p>
            <w:pPr>
              <w:spacing w:line="240" w:lineRule="auto"/>
              <w:ind w:firstLine="480"/>
              <w:jc w:val="both"/>
              <w:rPr>
                <w:sz w:val="24"/>
              </w:rPr>
            </w:pPr>
            <w:r>
              <w:rPr>
                <w:rFonts w:hint="eastAsia" w:ascii="宋体" w:hAnsi="宋体" w:eastAsia="宋体"/>
                <w:color w:val="000000"/>
                <w:sz w:val="24"/>
              </w:rPr>
              <w:t>附图二 项目周围环境及卫生防护距离示意图</w:t>
            </w:r>
          </w:p>
          <w:p>
            <w:pPr>
              <w:spacing w:line="240" w:lineRule="auto"/>
              <w:ind w:firstLine="480"/>
              <w:jc w:val="both"/>
              <w:rPr>
                <w:sz w:val="24"/>
              </w:rPr>
            </w:pPr>
            <w:r>
              <w:rPr>
                <w:rFonts w:hint="eastAsia" w:ascii="宋体" w:hAnsi="宋体" w:eastAsia="宋体"/>
                <w:color w:val="000000"/>
                <w:sz w:val="24"/>
              </w:rPr>
              <w:t>附图三 项目周边敏感点分布示意图</w:t>
            </w:r>
          </w:p>
          <w:p>
            <w:pPr>
              <w:spacing w:line="240" w:lineRule="auto"/>
              <w:ind w:firstLine="480"/>
              <w:jc w:val="both"/>
              <w:rPr>
                <w:sz w:val="24"/>
              </w:rPr>
            </w:pPr>
            <w:r>
              <w:rPr>
                <w:rFonts w:hint="eastAsia" w:ascii="宋体" w:hAnsi="宋体" w:eastAsia="宋体"/>
                <w:color w:val="000000"/>
                <w:sz w:val="24"/>
              </w:rPr>
              <w:t>附图四 项目平面布置图</w:t>
            </w:r>
          </w:p>
          <w:p>
            <w:pPr>
              <w:spacing w:line="240" w:lineRule="auto"/>
              <w:ind w:firstLine="480"/>
              <w:jc w:val="both"/>
              <w:rPr>
                <w:sz w:val="24"/>
              </w:rPr>
            </w:pPr>
            <w:r>
              <w:rPr>
                <w:rFonts w:hint="eastAsia" w:ascii="宋体" w:hAnsi="宋体" w:eastAsia="宋体"/>
                <w:color w:val="000000"/>
                <w:sz w:val="24"/>
              </w:rPr>
              <w:t>附图五 现状照片</w:t>
            </w:r>
          </w:p>
          <w:p>
            <w:pPr>
              <w:spacing w:line="240" w:lineRule="auto"/>
              <w:ind w:firstLine="480"/>
              <w:jc w:val="both"/>
              <w:rPr>
                <w:sz w:val="24"/>
              </w:rPr>
            </w:pPr>
            <w:r>
              <w:rPr>
                <w:rFonts w:hint="eastAsia" w:ascii="宋体" w:hAnsi="宋体" w:eastAsia="宋体"/>
                <w:color w:val="000000"/>
                <w:sz w:val="24"/>
              </w:rPr>
              <w:t>附件一 委托书</w:t>
            </w:r>
          </w:p>
          <w:p>
            <w:pPr>
              <w:spacing w:line="240" w:lineRule="auto"/>
              <w:ind w:firstLine="480"/>
              <w:jc w:val="both"/>
              <w:rPr>
                <w:sz w:val="24"/>
              </w:rPr>
            </w:pPr>
            <w:r>
              <w:rPr>
                <w:rFonts w:hint="eastAsia" w:ascii="宋体" w:hAnsi="宋体" w:eastAsia="宋体"/>
                <w:color w:val="000000"/>
                <w:sz w:val="24"/>
              </w:rPr>
              <w:t>附件二 项目备案确认书</w:t>
            </w:r>
          </w:p>
          <w:p>
            <w:pPr>
              <w:spacing w:line="240" w:lineRule="auto"/>
              <w:ind w:firstLine="480"/>
              <w:jc w:val="both"/>
              <w:rPr>
                <w:sz w:val="24"/>
              </w:rPr>
            </w:pPr>
            <w:r>
              <w:rPr>
                <w:rFonts w:hint="eastAsia" w:ascii="宋体" w:hAnsi="宋体" w:eastAsia="宋体"/>
                <w:color w:val="000000"/>
                <w:sz w:val="24"/>
              </w:rPr>
              <w:t>附件三 用地租赁协议</w:t>
            </w:r>
          </w:p>
          <w:p>
            <w:pPr>
              <w:spacing w:line="240" w:lineRule="auto"/>
              <w:ind w:firstLine="480"/>
              <w:jc w:val="both"/>
              <w:rPr>
                <w:sz w:val="24"/>
              </w:rPr>
            </w:pPr>
            <w:r>
              <w:rPr>
                <w:rFonts w:hint="eastAsia" w:ascii="宋体" w:hAnsi="宋体" w:eastAsia="宋体"/>
                <w:color w:val="000000"/>
                <w:sz w:val="24"/>
              </w:rPr>
              <w:t>附件四 用地规划证明</w:t>
            </w:r>
          </w:p>
          <w:p>
            <w:pPr>
              <w:spacing w:line="240" w:lineRule="auto"/>
              <w:ind w:firstLine="480"/>
              <w:jc w:val="both"/>
              <w:rPr>
                <w:sz w:val="24"/>
              </w:rPr>
            </w:pPr>
            <w:r>
              <w:rPr>
                <w:rFonts w:hint="eastAsia" w:ascii="宋体" w:hAnsi="宋体" w:eastAsia="宋体"/>
                <w:color w:val="000000"/>
                <w:sz w:val="24"/>
              </w:rPr>
              <w:t>附件五 营业执照</w:t>
            </w:r>
          </w:p>
          <w:p>
            <w:pPr>
              <w:spacing w:line="240" w:lineRule="auto"/>
              <w:ind w:firstLine="0"/>
              <w:jc w:val="both"/>
              <w:rPr>
                <w:sz w:val="24"/>
              </w:rPr>
            </w:pPr>
            <w:r>
              <w:rPr>
                <w:rFonts w:hint="eastAsia" w:ascii="宋体" w:hAnsi="宋体" w:eastAsia="宋体"/>
                <w:color w:val="000000"/>
                <w:sz w:val="24"/>
              </w:rPr>
              <w:t>二、如果本报告表不能说明项目产生的污染及对环境造成的影响，应进行专项评价。根据建设项目的特点和当地环境特征，应选下列1-2项进行专项评价。</w:t>
            </w:r>
          </w:p>
          <w:p>
            <w:pPr>
              <w:spacing w:line="240" w:lineRule="auto"/>
              <w:ind w:firstLine="480"/>
              <w:jc w:val="both"/>
              <w:rPr>
                <w:sz w:val="24"/>
              </w:rPr>
            </w:pPr>
            <w:r>
              <w:rPr>
                <w:rFonts w:hint="eastAsia" w:ascii="宋体" w:hAnsi="宋体" w:eastAsia="宋体"/>
                <w:color w:val="000000"/>
                <w:sz w:val="24"/>
              </w:rPr>
              <w:t>1、大气环境影响专项评价</w:t>
            </w:r>
          </w:p>
          <w:p>
            <w:pPr>
              <w:spacing w:line="240" w:lineRule="auto"/>
              <w:ind w:firstLine="480"/>
              <w:jc w:val="both"/>
              <w:rPr>
                <w:sz w:val="24"/>
              </w:rPr>
            </w:pPr>
            <w:r>
              <w:rPr>
                <w:rFonts w:hint="eastAsia" w:ascii="宋体" w:hAnsi="宋体" w:eastAsia="宋体"/>
                <w:color w:val="000000"/>
                <w:sz w:val="24"/>
              </w:rPr>
              <w:t>2、水环境影响专项评价（包括地表水和地下水）</w:t>
            </w:r>
          </w:p>
          <w:p>
            <w:pPr>
              <w:spacing w:line="240" w:lineRule="auto"/>
              <w:ind w:firstLine="480"/>
              <w:jc w:val="both"/>
              <w:rPr>
                <w:sz w:val="24"/>
              </w:rPr>
            </w:pPr>
            <w:r>
              <w:rPr>
                <w:rFonts w:hint="eastAsia" w:ascii="宋体" w:hAnsi="宋体" w:eastAsia="宋体"/>
                <w:color w:val="000000"/>
                <w:sz w:val="24"/>
              </w:rPr>
              <w:t>3、生态影响专项评价</w:t>
            </w:r>
          </w:p>
          <w:p>
            <w:pPr>
              <w:spacing w:line="240" w:lineRule="auto"/>
              <w:ind w:firstLine="480"/>
              <w:jc w:val="both"/>
              <w:rPr>
                <w:sz w:val="24"/>
              </w:rPr>
            </w:pPr>
            <w:r>
              <w:rPr>
                <w:rFonts w:hint="eastAsia" w:ascii="宋体" w:hAnsi="宋体" w:eastAsia="宋体"/>
                <w:color w:val="000000"/>
                <w:sz w:val="24"/>
              </w:rPr>
              <w:t>4、声影响专项评价</w:t>
            </w:r>
          </w:p>
          <w:p>
            <w:pPr>
              <w:spacing w:line="240" w:lineRule="auto"/>
              <w:ind w:firstLine="480"/>
              <w:jc w:val="both"/>
              <w:rPr>
                <w:sz w:val="24"/>
              </w:rPr>
            </w:pPr>
            <w:r>
              <w:rPr>
                <w:rFonts w:hint="eastAsia" w:ascii="宋体" w:hAnsi="宋体" w:eastAsia="宋体"/>
                <w:color w:val="000000"/>
                <w:sz w:val="24"/>
              </w:rPr>
              <w:t>5、土壤影响专项评价</w:t>
            </w:r>
          </w:p>
          <w:p>
            <w:pPr>
              <w:spacing w:line="240" w:lineRule="auto"/>
              <w:ind w:firstLine="480"/>
              <w:jc w:val="both"/>
              <w:rPr>
                <w:sz w:val="24"/>
              </w:rPr>
            </w:pPr>
            <w:r>
              <w:rPr>
                <w:rFonts w:hint="eastAsia" w:ascii="宋体" w:hAnsi="宋体" w:eastAsia="宋体"/>
                <w:color w:val="000000"/>
                <w:sz w:val="24"/>
              </w:rPr>
              <w:t>6、固体废弃物影响专项评价</w:t>
            </w:r>
          </w:p>
          <w:p>
            <w:pPr>
              <w:spacing w:line="240" w:lineRule="auto"/>
              <w:ind w:firstLine="480"/>
              <w:jc w:val="both"/>
              <w:rPr>
                <w:sz w:val="24"/>
              </w:rPr>
            </w:pPr>
            <w:r>
              <w:rPr>
                <w:rFonts w:hint="eastAsia" w:ascii="宋体" w:hAnsi="宋体" w:eastAsia="宋体"/>
                <w:color w:val="000000"/>
                <w:sz w:val="24"/>
              </w:rPr>
              <w:t>以上专项评价未包括的可另列专项，专项评价按照《环境影响评价技术导则》中的要求进行。</w:t>
            </w:r>
          </w:p>
        </w:tc>
      </w:tr>
    </w:tbl>
    <w:p>
      <w:pPr>
        <w:spacing w:line="1" w:lineRule="exact"/>
        <w:sectPr>
          <w:footerReference r:id="rId45" w:type="default"/>
          <w:type w:val="continuous"/>
          <w:pgSz w:w="11900" w:h="16820"/>
          <w:pgMar w:top="1200" w:right="1200" w:bottom="1440" w:left="1200" w:header="600" w:footer="720" w:gutter="0"/>
          <w:cols w:space="720" w:num="1"/>
        </w:sectPr>
      </w:pPr>
    </w:p>
    <w:p>
      <w:pPr>
        <w:spacing w:line="1512" w:lineRule="auto"/>
        <w:ind w:firstLine="0"/>
        <w:jc w:val="both"/>
        <w:rPr>
          <w:sz w:val="12"/>
        </w:rPr>
      </w:pPr>
    </w:p>
    <w:p>
      <w:pPr>
        <w:jc w:val="center"/>
        <w:sectPr>
          <w:footerReference r:id="rId46" w:type="default"/>
          <w:type w:val="continuous"/>
          <w:pgSz w:w="11900" w:h="8400"/>
          <w:pgMar w:top="720" w:right="720" w:bottom="2880" w:left="720" w:header="360" w:footer="720" w:gutter="0"/>
          <w:cols w:space="720" w:num="1"/>
        </w:sectPr>
      </w:pPr>
      <w:r>
        <w:drawing>
          <wp:inline distT="0" distB="0" distL="0" distR="0">
            <wp:extent cx="5435600" cy="3390900"/>
            <wp:effectExtent l="0" t="0" r="0" b="0"/>
            <wp:docPr id="2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RMAL"/>
                    <pic:cNvPicPr>
                      <a:picLocks noChangeAspect="1"/>
                    </pic:cNvPicPr>
                  </pic:nvPicPr>
                  <pic:blipFill>
                    <a:blip r:embed="rId78" cstate="print"/>
                    <a:stretch>
                      <a:fillRect/>
                    </a:stretch>
                  </pic:blipFill>
                  <pic:spPr>
                    <a:xfrm>
                      <a:off x="1000" y="1000"/>
                      <a:ext cx="5435600" cy="3390900"/>
                    </a:xfrm>
                    <a:prstGeom prst="rect">
                      <a:avLst/>
                    </a:prstGeom>
                  </pic:spPr>
                </pic:pic>
              </a:graphicData>
            </a:graphic>
          </wp:inline>
        </w:drawing>
      </w:r>
    </w:p>
    <w:p>
      <w:pPr>
        <w:spacing w:line="216" w:lineRule="auto"/>
        <w:ind w:firstLine="0"/>
        <w:jc w:val="both"/>
        <w:rPr>
          <w:sz w:val="14"/>
        </w:rPr>
      </w:pPr>
    </w:p>
    <w:p>
      <w:pPr>
        <w:spacing w:line="216" w:lineRule="auto"/>
        <w:ind w:firstLine="0"/>
        <w:jc w:val="both"/>
        <w:rPr>
          <w:sz w:val="14"/>
        </w:rPr>
      </w:pPr>
    </w:p>
    <w:p>
      <w:pPr>
        <w:spacing w:line="216" w:lineRule="auto"/>
        <w:ind w:firstLine="0"/>
        <w:jc w:val="both"/>
        <w:rPr>
          <w:sz w:val="14"/>
        </w:rPr>
      </w:pPr>
    </w:p>
    <w:p>
      <w:pPr>
        <w:spacing w:line="216" w:lineRule="auto"/>
        <w:ind w:firstLine="0"/>
        <w:jc w:val="both"/>
        <w:rPr>
          <w:sz w:val="14"/>
        </w:rPr>
      </w:pPr>
    </w:p>
    <w:p>
      <w:pPr>
        <w:spacing w:line="216" w:lineRule="auto"/>
        <w:ind w:firstLine="0"/>
        <w:jc w:val="both"/>
        <w:rPr>
          <w:sz w:val="14"/>
        </w:rPr>
      </w:pPr>
    </w:p>
    <w:p>
      <w:pPr>
        <w:spacing w:line="216" w:lineRule="auto"/>
        <w:ind w:firstLine="0"/>
        <w:jc w:val="both"/>
        <w:rPr>
          <w:sz w:val="14"/>
        </w:rPr>
      </w:pPr>
    </w:p>
    <w:p>
      <w:pPr>
        <w:jc w:val="center"/>
        <w:sectPr>
          <w:footerReference r:id="rId47" w:type="default"/>
          <w:type w:val="continuous"/>
          <w:pgSz w:w="11900" w:h="8400"/>
          <w:pgMar w:top="720" w:right="720" w:bottom="2880" w:left="720" w:header="360" w:footer="720" w:gutter="0"/>
          <w:cols w:space="720" w:num="1"/>
        </w:sectPr>
      </w:pPr>
      <w:r>
        <w:drawing>
          <wp:inline distT="0" distB="0" distL="0" distR="0">
            <wp:extent cx="5321300" cy="3390900"/>
            <wp:effectExtent l="0" t="0" r="0" b="0"/>
            <wp:docPr id="3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RMAL"/>
                    <pic:cNvPicPr>
                      <a:picLocks noChangeAspect="1"/>
                    </pic:cNvPicPr>
                  </pic:nvPicPr>
                  <pic:blipFill>
                    <a:blip r:embed="rId79" cstate="print"/>
                    <a:stretch>
                      <a:fillRect/>
                    </a:stretch>
                  </pic:blipFill>
                  <pic:spPr>
                    <a:xfrm>
                      <a:off x="1000" y="1000"/>
                      <a:ext cx="5321300" cy="3390900"/>
                    </a:xfrm>
                    <a:prstGeom prst="rect">
                      <a:avLst/>
                    </a:prstGeom>
                  </pic:spPr>
                </pic:pic>
              </a:graphicData>
            </a:graphic>
          </wp:inline>
        </w:drawing>
      </w:r>
    </w:p>
    <w:p>
      <w:r>
        <w:drawing>
          <wp:anchor distT="0" distB="0" distL="114300" distR="114300" simplePos="0" relativeHeight="251659264" behindDoc="0" locked="0" layoutInCell="1" allowOverlap="1">
            <wp:simplePos x="0" y="0"/>
            <wp:positionH relativeFrom="page">
              <wp:posOffset>609600</wp:posOffset>
            </wp:positionH>
            <wp:positionV relativeFrom="page">
              <wp:posOffset>774700</wp:posOffset>
            </wp:positionV>
            <wp:extent cx="6324600" cy="3810000"/>
            <wp:effectExtent l="0" t="0" r="2540" b="4445"/>
            <wp:wrapSquare wrapText="bothSides"/>
            <wp:docPr id="3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RMAL"/>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6324600" cy="381000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page">
                  <wp:posOffset>3594100</wp:posOffset>
                </wp:positionH>
                <wp:positionV relativeFrom="page">
                  <wp:posOffset>4610100</wp:posOffset>
                </wp:positionV>
                <wp:extent cx="1397000" cy="152400"/>
                <wp:effectExtent l="0" t="0" r="635" b="14605"/>
                <wp:wrapSquare wrapText="bothSides"/>
                <wp:docPr id="3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16" w:lineRule="auto"/>
                              <w:jc w:val="center"/>
                              <w:rPr>
                                <w:sz w:val="17"/>
                              </w:rPr>
                            </w:pPr>
                            <w:r>
                              <w:rPr>
                                <w:rFonts w:hint="eastAsia" w:ascii="宋体" w:hAnsi="宋体" w:eastAsia="宋体"/>
                                <w:color w:val="000000"/>
                                <w:sz w:val="17"/>
                              </w:rPr>
                              <w:t>项目周边敏感点分布示意图</w:t>
                            </w:r>
                          </w:p>
                        </w:txbxContent>
                      </wps:txbx>
                      <wps:bodyPr wrap="square" lIns="25400" tIns="0" rIns="25400" bIns="0">
                        <a:noAutofit/>
                      </wps:bodyPr>
                    </wps:wsp>
                  </a:graphicData>
                </a:graphic>
              </wp:anchor>
            </w:drawing>
          </mc:Choice>
          <mc:Fallback>
            <w:pict>
              <v:shape id="文本框 2" o:spid="_x0000_s1026" o:spt="202" type="#_x0000_t202" style="position:absolute;left:0pt;margin-left:283pt;margin-top:363pt;height:12pt;width:110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IDuHdgAAAAL&#10;AQAADwAAAAAAAAABACAAAAAiAAAAZHJzL2Rvd25yZXYueG1sUEsBAhQAFAAAAAgAh07iQC9R35rj&#10;AQAArQMAAA4AAAAAAAAAAQAgAAAAJwEAAGRycy9lMm9Eb2MueG1sUEsFBgAAAAAGAAYAWQEAAHwF&#10;AAAAAA==&#10;">
                <v:fill on="f" focussize="0,0"/>
                <v:stroke on="f" weight="0.5pt"/>
                <v:imagedata o:title=""/>
                <o:lock v:ext="edit" aspectratio="f"/>
                <v:textbox inset="2pt,0mm,2pt,0mm">
                  <w:txbxContent>
                    <w:p>
                      <w:pPr>
                        <w:spacing w:line="216" w:lineRule="auto"/>
                        <w:jc w:val="center"/>
                        <w:rPr>
                          <w:sz w:val="17"/>
                        </w:rPr>
                      </w:pPr>
                      <w:r>
                        <w:rPr>
                          <w:rFonts w:hint="eastAsia" w:ascii="宋体" w:hAnsi="宋体" w:eastAsia="宋体"/>
                          <w:color w:val="000000"/>
                          <w:sz w:val="17"/>
                        </w:rPr>
                        <w:t>项目周边敏感点分布示意图</w:t>
                      </w:r>
                    </w:p>
                  </w:txbxContent>
                </v:textbox>
                <w10:wrap type="square"/>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2540000</wp:posOffset>
                </wp:positionH>
                <wp:positionV relativeFrom="page">
                  <wp:posOffset>4610100</wp:posOffset>
                </wp:positionV>
                <wp:extent cx="342900" cy="152400"/>
                <wp:effectExtent l="0" t="0" r="635" b="14605"/>
                <wp:wrapSquare wrapText="bothSides"/>
                <wp:docPr id="3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16" w:lineRule="auto"/>
                              <w:jc w:val="center"/>
                              <w:rPr>
                                <w:sz w:val="17"/>
                              </w:rPr>
                            </w:pPr>
                            <w:r>
                              <w:rPr>
                                <w:rFonts w:hint="eastAsia" w:ascii="宋体" w:hAnsi="宋体" w:eastAsia="宋体"/>
                                <w:color w:val="000000"/>
                                <w:sz w:val="17"/>
                              </w:rPr>
                              <w:t>附图3</w:t>
                            </w:r>
                          </w:p>
                        </w:txbxContent>
                      </wps:txbx>
                      <wps:bodyPr wrap="square" lIns="25400" tIns="0" rIns="25400" bIns="0">
                        <a:noAutofit/>
                      </wps:bodyPr>
                    </wps:wsp>
                  </a:graphicData>
                </a:graphic>
              </wp:anchor>
            </w:drawing>
          </mc:Choice>
          <mc:Fallback>
            <w:pict>
              <v:shape id="文本框 2" o:spid="_x0000_s1026" o:spt="202" type="#_x0000_t202" style="position:absolute;left:0pt;margin-left:200pt;margin-top:363pt;height:12pt;width:27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oCx5PYAAAA&#10;CwEAAA8AAAAAAAAAAQAgAAAAIgAAAGRycy9kb3ducmV2LnhtbFBLAQIUABQAAAAIAIdO4kCNfTgf&#10;5AEAAK0DAAAOAAAAAAAAAAEAIAAAACcBAABkcnMvZTJvRG9jLnhtbFBLBQYAAAAABgAGAFkBAAB9&#10;BQAAAAA=&#10;">
                <v:fill on="f" focussize="0,0"/>
                <v:stroke on="f" weight="0.5pt"/>
                <v:imagedata o:title=""/>
                <o:lock v:ext="edit" aspectratio="f"/>
                <v:textbox inset="2pt,0mm,2pt,0mm">
                  <w:txbxContent>
                    <w:p>
                      <w:pPr>
                        <w:spacing w:line="216" w:lineRule="auto"/>
                        <w:jc w:val="center"/>
                        <w:rPr>
                          <w:sz w:val="17"/>
                        </w:rPr>
                      </w:pPr>
                      <w:r>
                        <w:rPr>
                          <w:rFonts w:hint="eastAsia" w:ascii="宋体" w:hAnsi="宋体" w:eastAsia="宋体"/>
                          <w:color w:val="000000"/>
                          <w:sz w:val="17"/>
                        </w:rPr>
                        <w:t>附图3</w:t>
                      </w:r>
                    </w:p>
                  </w:txbxContent>
                </v:textbox>
                <w10:wrap type="square"/>
              </v:shape>
            </w:pict>
          </mc:Fallback>
        </mc:AlternateContent>
      </w:r>
    </w:p>
    <w:p>
      <w:pPr>
        <w:sectPr>
          <w:type w:val="continuous"/>
          <w:pgSz w:w="11900" w:h="8400"/>
          <w:pgMar w:top="0" w:right="0" w:bottom="0" w:left="0" w:header="0" w:footer="0" w:gutter="0"/>
          <w:cols w:space="720" w:num="1"/>
        </w:sectPr>
      </w:pPr>
    </w:p>
    <w:tbl>
      <w:tblPr>
        <w:tblStyle w:val="2"/>
        <w:tblW w:w="952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864"/>
        <w:gridCol w:w="1004"/>
        <w:gridCol w:w="765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40" w:hRule="atLeast"/>
          <w:jc w:val="center"/>
        </w:trPr>
        <w:tc>
          <w:tcPr>
            <w:tcW w:w="86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生产车间</w:t>
            </w:r>
          </w:p>
        </w:tc>
        <w:tc>
          <w:tcPr>
            <w:tcW w:w="100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jc w:val="both"/>
              <w:rPr>
                <w:sz w:val="21"/>
              </w:rPr>
            </w:pPr>
            <w:r>
              <w:rPr>
                <w:rFonts w:hint="eastAsia" w:ascii="宋体" w:hAnsi="宋体" w:eastAsia="宋体"/>
                <w:color w:val="000000"/>
                <w:sz w:val="21"/>
              </w:rPr>
              <w:t>生产车间</w:t>
            </w:r>
          </w:p>
        </w:tc>
        <w:tc>
          <w:tcPr>
            <w:tcW w:w="76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宋体" w:hAnsi="宋体" w:eastAsia="宋体"/>
                <w:color w:val="000000"/>
                <w:sz w:val="20"/>
              </w:rPr>
              <w:t>厂内道路</w:t>
            </w:r>
          </w:p>
          <w:p>
            <w:pPr>
              <w:spacing w:line="240" w:lineRule="auto"/>
              <w:ind w:firstLine="0"/>
              <w:jc w:val="both"/>
              <w:rPr>
                <w:sz w:val="21"/>
              </w:rPr>
            </w:pPr>
            <w:r>
              <w:rPr>
                <w:rFonts w:hint="eastAsia" w:ascii="Calibri" w:hAnsi="Calibri" w:eastAsia="Calibri"/>
                <w:color w:val="000000"/>
                <w:sz w:val="21"/>
              </w:rPr>
              <w:t>N</w:t>
            </w:r>
          </w:p>
          <w:p>
            <w:pPr>
              <w:spacing w:line="240" w:lineRule="auto"/>
              <w:ind w:firstLine="0"/>
              <w:jc w:val="both"/>
              <w:rPr>
                <w:sz w:val="21"/>
              </w:rPr>
            </w:pPr>
            <w:r>
              <w:rPr>
                <w:rFonts w:hint="eastAsia" w:ascii="宋体" w:hAnsi="宋体" w:eastAsia="宋体"/>
                <w:color w:val="000000"/>
                <w:sz w:val="21"/>
              </w:rPr>
              <w:t>半成品仓库办公区   半成品仓库</w:t>
            </w:r>
          </w:p>
          <w:p>
            <w:pPr>
              <w:spacing w:line="240" w:lineRule="auto"/>
              <w:ind w:firstLine="0"/>
              <w:jc w:val="both"/>
              <w:rPr>
                <w:sz w:val="21"/>
              </w:rPr>
            </w:pPr>
            <w:r>
              <w:rPr>
                <w:rFonts w:hint="eastAsia" w:ascii="宋体" w:hAnsi="宋体" w:eastAsia="宋体"/>
                <w:color w:val="000000"/>
                <w:sz w:val="21"/>
              </w:rPr>
              <w:t>成品仓库</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80" w:hRule="atLeast"/>
          <w:jc w:val="center"/>
        </w:trPr>
        <w:tc>
          <w:tcPr>
            <w:tcW w:w="860" w:type="dxa"/>
            <w:vMerge w:val="continue"/>
            <w:tcBorders>
              <w:left w:val="single" w:color="000000" w:sz="4" w:space="0"/>
            </w:tcBorders>
          </w:tcPr>
          <w:p/>
        </w:tc>
        <w:tc>
          <w:tcPr>
            <w:tcW w:w="862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sz w:val="20"/>
              </w:rPr>
            </w:pPr>
            <w:r>
              <w:rPr>
                <w:rFonts w:hint="eastAsia" w:ascii="宋体" w:hAnsi="宋体" w:eastAsia="宋体"/>
                <w:color w:val="000000"/>
                <w:sz w:val="20"/>
              </w:rPr>
              <w:t>原材料仓库                  原材料仓库</w:t>
            </w:r>
          </w:p>
        </w:tc>
      </w:tr>
    </w:tbl>
    <w:p>
      <w:pPr>
        <w:spacing w:line="240" w:lineRule="auto"/>
        <w:jc w:val="center"/>
        <w:rPr>
          <w:sz w:val="20"/>
        </w:rPr>
        <w:sectPr>
          <w:headerReference r:id="rId48" w:type="default"/>
          <w:footerReference r:id="rId49" w:type="default"/>
          <w:type w:val="continuous"/>
          <w:pgSz w:w="11900" w:h="8400"/>
          <w:pgMar w:top="1680" w:right="2880" w:bottom="1680" w:left="2880" w:header="840" w:footer="840" w:gutter="0"/>
          <w:cols w:space="720" w:num="1"/>
        </w:sectPr>
      </w:pPr>
      <w:r>
        <w:rPr>
          <w:rFonts w:hint="eastAsia" w:ascii="宋体" w:hAnsi="宋体" w:eastAsia="宋体"/>
          <w:color w:val="000000"/>
          <w:sz w:val="20"/>
        </w:rPr>
        <w:t>附图4            项目平面布置示意图</w:t>
      </w:r>
    </w:p>
    <w:p>
      <w:pPr>
        <w:spacing w:line="240" w:lineRule="auto"/>
        <w:jc w:val="center"/>
        <w:rPr>
          <w:sz w:val="21"/>
        </w:rPr>
      </w:pPr>
      <w:r>
        <w:drawing>
          <wp:inline distT="0" distB="0" distL="0" distR="0">
            <wp:extent cx="2730500" cy="20193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81" cstate="print"/>
                    <a:stretch>
                      <a:fillRect/>
                    </a:stretch>
                  </pic:blipFill>
                  <pic:spPr>
                    <a:xfrm>
                      <a:off x="1000" y="1000"/>
                      <a:ext cx="2730500" cy="2019300"/>
                    </a:xfrm>
                    <a:prstGeom prst="rect">
                      <a:avLst/>
                    </a:prstGeom>
                  </pic:spPr>
                </pic:pic>
              </a:graphicData>
            </a:graphic>
          </wp:inline>
        </w:drawing>
      </w:r>
      <w:r>
        <w:drawing>
          <wp:inline distT="0" distB="0" distL="0" distR="0">
            <wp:extent cx="2730500" cy="20066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pic:cNvPicPr>
                      <a:picLocks noChangeAspect="1"/>
                    </pic:cNvPicPr>
                  </pic:nvPicPr>
                  <pic:blipFill>
                    <a:blip r:embed="rId82" cstate="print"/>
                    <a:stretch>
                      <a:fillRect/>
                    </a:stretch>
                  </pic:blipFill>
                  <pic:spPr>
                    <a:xfrm>
                      <a:off x="1000" y="1000"/>
                      <a:ext cx="2730500" cy="2006600"/>
                    </a:xfrm>
                    <a:prstGeom prst="rect">
                      <a:avLst/>
                    </a:prstGeom>
                  </pic:spPr>
                </pic:pic>
              </a:graphicData>
            </a:graphic>
          </wp:inline>
        </w:drawing>
      </w:r>
    </w:p>
    <w:p>
      <w:pPr>
        <w:spacing w:line="216" w:lineRule="auto"/>
        <w:ind w:firstLine="0"/>
        <w:jc w:val="both"/>
        <w:rPr>
          <w:sz w:val="24"/>
        </w:rPr>
      </w:pPr>
    </w:p>
    <w:p>
      <w:pPr>
        <w:spacing w:line="240" w:lineRule="auto"/>
        <w:jc w:val="center"/>
        <w:rPr>
          <w:sz w:val="21"/>
        </w:rPr>
      </w:pPr>
      <w:r>
        <w:drawing>
          <wp:inline distT="0" distB="0" distL="0" distR="0">
            <wp:extent cx="2768600" cy="20193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pic:cNvPicPr>
                  </pic:nvPicPr>
                  <pic:blipFill>
                    <a:blip r:embed="rId83" cstate="print"/>
                    <a:stretch>
                      <a:fillRect/>
                    </a:stretch>
                  </pic:blipFill>
                  <pic:spPr>
                    <a:xfrm>
                      <a:off x="1000" y="1000"/>
                      <a:ext cx="2768600" cy="2019300"/>
                    </a:xfrm>
                    <a:prstGeom prst="rect">
                      <a:avLst/>
                    </a:prstGeom>
                  </pic:spPr>
                </pic:pic>
              </a:graphicData>
            </a:graphic>
          </wp:inline>
        </w:drawing>
      </w:r>
      <w:r>
        <w:drawing>
          <wp:inline distT="0" distB="0" distL="0" distR="0">
            <wp:extent cx="2768600" cy="19939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pic:cNvPicPr>
                      <a:picLocks noChangeAspect="1"/>
                    </pic:cNvPicPr>
                  </pic:nvPicPr>
                  <pic:blipFill>
                    <a:blip r:embed="rId84" cstate="print"/>
                    <a:stretch>
                      <a:fillRect/>
                    </a:stretch>
                  </pic:blipFill>
                  <pic:spPr>
                    <a:xfrm>
                      <a:off x="1000" y="1000"/>
                      <a:ext cx="2768600" cy="1993900"/>
                    </a:xfrm>
                    <a:prstGeom prst="rect">
                      <a:avLst/>
                    </a:prstGeom>
                  </pic:spPr>
                </pic:pic>
              </a:graphicData>
            </a:graphic>
          </wp:inline>
        </w:drawing>
      </w:r>
    </w:p>
    <w:p>
      <w:pPr>
        <w:spacing w:line="216" w:lineRule="auto"/>
        <w:ind w:firstLine="0"/>
        <w:jc w:val="both"/>
        <w:rPr>
          <w:sz w:val="24"/>
        </w:rPr>
      </w:pPr>
    </w:p>
    <w:p>
      <w:pPr>
        <w:spacing w:line="216" w:lineRule="auto"/>
        <w:ind w:firstLine="0"/>
        <w:jc w:val="both"/>
        <w:rPr>
          <w:sz w:val="24"/>
        </w:rPr>
      </w:pPr>
      <w:r>
        <w:rPr>
          <w:rFonts w:hint="eastAsia" w:ascii="宋体" w:hAnsi="宋体" w:eastAsia="宋体"/>
          <w:color w:val="000000"/>
          <w:sz w:val="24"/>
        </w:rPr>
        <w:t>厂区现状</w:t>
      </w:r>
    </w:p>
    <w:p>
      <w:pPr>
        <w:spacing w:line="216" w:lineRule="auto"/>
        <w:ind w:firstLine="0"/>
        <w:jc w:val="both"/>
        <w:rPr>
          <w:sz w:val="24"/>
        </w:rPr>
      </w:pPr>
    </w:p>
    <w:p>
      <w:pPr>
        <w:spacing w:line="240" w:lineRule="auto"/>
        <w:jc w:val="center"/>
        <w:rPr>
          <w:sz w:val="21"/>
        </w:rPr>
      </w:pPr>
      <w:r>
        <w:drawing>
          <wp:inline distT="0" distB="0" distL="0" distR="0">
            <wp:extent cx="2717800" cy="20193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85" cstate="print"/>
                    <a:stretch>
                      <a:fillRect/>
                    </a:stretch>
                  </pic:blipFill>
                  <pic:spPr>
                    <a:xfrm>
                      <a:off x="1000" y="1000"/>
                      <a:ext cx="2717800" cy="2019300"/>
                    </a:xfrm>
                    <a:prstGeom prst="rect">
                      <a:avLst/>
                    </a:prstGeom>
                  </pic:spPr>
                </pic:pic>
              </a:graphicData>
            </a:graphic>
          </wp:inline>
        </w:drawing>
      </w:r>
      <w:r>
        <w:drawing>
          <wp:inline distT="0" distB="0" distL="0" distR="0">
            <wp:extent cx="2717800" cy="19939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pic:cNvPicPr>
                  </pic:nvPicPr>
                  <pic:blipFill>
                    <a:blip r:embed="rId86" cstate="print"/>
                    <a:stretch>
                      <a:fillRect/>
                    </a:stretch>
                  </pic:blipFill>
                  <pic:spPr>
                    <a:xfrm>
                      <a:off x="1000" y="1000"/>
                      <a:ext cx="2717800" cy="1993900"/>
                    </a:xfrm>
                    <a:prstGeom prst="rect">
                      <a:avLst/>
                    </a:prstGeom>
                  </pic:spPr>
                </pic:pic>
              </a:graphicData>
            </a:graphic>
          </wp:inline>
        </w:drawing>
      </w:r>
    </w:p>
    <w:p>
      <w:pPr>
        <w:spacing w:line="216" w:lineRule="auto"/>
        <w:ind w:firstLine="0"/>
        <w:jc w:val="both"/>
        <w:rPr>
          <w:sz w:val="24"/>
        </w:rPr>
      </w:pPr>
    </w:p>
    <w:p>
      <w:pPr>
        <w:spacing w:line="216" w:lineRule="auto"/>
        <w:ind w:firstLine="0"/>
        <w:jc w:val="both"/>
        <w:rPr>
          <w:sz w:val="24"/>
        </w:rPr>
      </w:pPr>
      <w:r>
        <w:rPr>
          <w:rFonts w:hint="eastAsia" w:ascii="宋体" w:hAnsi="宋体" w:eastAsia="宋体"/>
          <w:color w:val="000000"/>
          <w:sz w:val="24"/>
        </w:rPr>
        <w:t>项目北侧镇东家具城                   项目西南侧120m处居民</w:t>
      </w:r>
    </w:p>
    <w:p>
      <w:pPr>
        <w:spacing w:line="216" w:lineRule="auto"/>
        <w:ind w:firstLine="0"/>
        <w:jc w:val="both"/>
        <w:rPr>
          <w:sz w:val="24"/>
        </w:rPr>
      </w:pPr>
    </w:p>
    <w:p>
      <w:pPr>
        <w:spacing w:line="216" w:lineRule="auto"/>
        <w:ind w:firstLine="0"/>
        <w:jc w:val="both"/>
        <w:rPr>
          <w:sz w:val="24"/>
        </w:rPr>
      </w:pPr>
    </w:p>
    <w:p>
      <w:pPr>
        <w:spacing w:line="216" w:lineRule="auto"/>
        <w:jc w:val="center"/>
        <w:rPr>
          <w:sz w:val="24"/>
        </w:rPr>
        <w:sectPr>
          <w:headerReference r:id="rId50" w:type="default"/>
          <w:footerReference r:id="rId51" w:type="default"/>
          <w:type w:val="continuous"/>
          <w:pgSz w:w="11900" w:h="16820"/>
          <w:pgMar w:top="1680" w:right="1440" w:bottom="2640" w:left="1440" w:header="840" w:footer="1320" w:gutter="0"/>
          <w:cols w:space="720" w:num="1"/>
        </w:sectPr>
      </w:pPr>
      <w:r>
        <w:rPr>
          <w:rFonts w:hint="eastAsia" w:ascii="宋体" w:hAnsi="宋体" w:eastAsia="宋体"/>
          <w:color w:val="000000"/>
          <w:sz w:val="24"/>
        </w:rPr>
        <w:t>附图5         现状照片</w:t>
      </w:r>
    </w:p>
    <w:p>
      <w:pPr>
        <w:spacing w:line="408" w:lineRule="auto"/>
        <w:ind w:firstLine="0"/>
        <w:jc w:val="right"/>
        <w:rPr>
          <w:sz w:val="20"/>
        </w:rPr>
      </w:pPr>
      <w:r>
        <w:rPr>
          <w:rFonts w:hint="eastAsia" w:ascii="宋体" w:hAnsi="宋体" w:eastAsia="宋体"/>
          <w:color w:val="000000"/>
          <w:sz w:val="20"/>
        </w:rPr>
        <w:t>附件1</w:t>
      </w:r>
    </w:p>
    <w:p>
      <w:pPr>
        <w:spacing w:line="408" w:lineRule="auto"/>
        <w:ind w:firstLine="0"/>
        <w:jc w:val="both"/>
        <w:rPr>
          <w:sz w:val="20"/>
        </w:rPr>
      </w:pPr>
    </w:p>
    <w:p>
      <w:pPr>
        <w:spacing w:line="408" w:lineRule="auto"/>
        <w:ind w:firstLine="0"/>
        <w:jc w:val="both"/>
        <w:rPr>
          <w:sz w:val="20"/>
        </w:rPr>
      </w:pPr>
    </w:p>
    <w:p>
      <w:pPr>
        <w:spacing w:line="216" w:lineRule="auto"/>
        <w:jc w:val="center"/>
        <w:rPr>
          <w:sz w:val="35"/>
        </w:rPr>
      </w:pPr>
      <w:r>
        <w:rPr>
          <w:rFonts w:hint="eastAsia" w:ascii="宋体" w:hAnsi="宋体" w:eastAsia="宋体"/>
          <w:color w:val="000000"/>
          <w:sz w:val="35"/>
        </w:rPr>
        <w:t>委托书</w:t>
      </w:r>
    </w:p>
    <w:p>
      <w:pPr>
        <w:spacing w:line="408" w:lineRule="auto"/>
        <w:ind w:firstLine="0"/>
        <w:jc w:val="both"/>
        <w:rPr>
          <w:sz w:val="20"/>
        </w:rPr>
      </w:pPr>
    </w:p>
    <w:p>
      <w:pPr>
        <w:spacing w:line="408" w:lineRule="auto"/>
        <w:ind w:firstLine="400"/>
        <w:jc w:val="both"/>
        <w:rPr>
          <w:sz w:val="20"/>
        </w:rPr>
      </w:pPr>
      <w:r>
        <w:rPr>
          <w:rFonts w:hint="eastAsia" w:ascii="宋体" w:hAnsi="宋体" w:eastAsia="宋体"/>
          <w:color w:val="000000"/>
          <w:sz w:val="20"/>
        </w:rPr>
        <w:t>云南蓝恒环保科技有限公司：</w:t>
      </w:r>
    </w:p>
    <w:p>
      <w:pPr>
        <w:spacing w:line="408" w:lineRule="auto"/>
        <w:ind w:firstLine="400"/>
        <w:jc w:val="both"/>
        <w:rPr>
          <w:sz w:val="20"/>
        </w:rPr>
      </w:pPr>
      <w:r>
        <w:rPr>
          <w:rFonts w:hint="eastAsia" w:ascii="宋体" w:hAnsi="宋体" w:eastAsia="宋体"/>
          <w:color w:val="000000"/>
          <w:sz w:val="20"/>
        </w:rPr>
        <w:t>根据建设项目的有关管理规定和要求，兹委托贵公司对我单位年产200套免漆家具建设项目进行环境影响评价报告的编制工作，望贵公司接到委托后，按照国家有关环境保护的要求尽快开展本项目的评价工作。</w:t>
      </w:r>
    </w:p>
    <w:p>
      <w:pPr>
        <w:spacing w:line="408" w:lineRule="auto"/>
        <w:ind w:firstLine="400"/>
        <w:jc w:val="both"/>
        <w:rPr>
          <w:sz w:val="20"/>
        </w:rPr>
      </w:pPr>
      <w:r>
        <w:rPr>
          <w:rFonts w:hint="eastAsia" w:ascii="宋体" w:hAnsi="宋体" w:eastAsia="宋体"/>
          <w:color w:val="000000"/>
          <w:sz w:val="20"/>
        </w:rPr>
        <w:t>特此委托</w:t>
      </w:r>
    </w:p>
    <w:p>
      <w:pPr>
        <w:spacing w:line="408" w:lineRule="auto"/>
        <w:ind w:firstLine="0"/>
        <w:jc w:val="both"/>
        <w:rPr>
          <w:sz w:val="20"/>
        </w:rPr>
      </w:pPr>
    </w:p>
    <w:p>
      <w:pPr>
        <w:spacing w:line="408" w:lineRule="auto"/>
        <w:ind w:firstLine="400"/>
        <w:jc w:val="both"/>
        <w:rPr>
          <w:sz w:val="20"/>
        </w:rPr>
      </w:pPr>
      <w:r>
        <w:rPr>
          <w:rFonts w:hint="eastAsia" w:ascii="宋体" w:hAnsi="宋体" w:eastAsia="宋体"/>
          <w:color w:val="000000"/>
          <w:sz w:val="20"/>
        </w:rPr>
        <w:t>委托方（盖章）：</w:t>
      </w:r>
      <w:r>
        <w:drawing>
          <wp:anchor distT="0" distB="0" distL="114300" distR="114300" simplePos="0" relativeHeight="251659264" behindDoc="1" locked="0" layoutInCell="1" allowOverlap="1">
            <wp:simplePos x="0" y="0"/>
            <wp:positionH relativeFrom="page">
              <wp:posOffset>3429000</wp:posOffset>
            </wp:positionH>
            <wp:positionV relativeFrom="paragraph">
              <wp:posOffset>-533400</wp:posOffset>
            </wp:positionV>
            <wp:extent cx="1066800" cy="1028700"/>
            <wp:effectExtent l="0" t="0" r="2540" b="4445"/>
            <wp:wrapNone/>
            <wp:docPr id="42"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AMP"/>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1066800" cy="1028700"/>
                    </a:xfrm>
                    <a:prstGeom prst="rect">
                      <a:avLst/>
                    </a:prstGeom>
                  </pic:spPr>
                </pic:pic>
              </a:graphicData>
            </a:graphic>
          </wp:anchor>
        </w:drawing>
      </w:r>
    </w:p>
    <w:p>
      <w:pPr>
        <w:spacing w:line="408" w:lineRule="auto"/>
        <w:ind w:firstLine="0"/>
        <w:jc w:val="both"/>
        <w:rPr>
          <w:sz w:val="20"/>
        </w:rPr>
      </w:pPr>
    </w:p>
    <w:p>
      <w:pPr>
        <w:spacing w:line="408" w:lineRule="auto"/>
        <w:ind w:firstLine="0"/>
        <w:jc w:val="right"/>
        <w:rPr>
          <w:sz w:val="20"/>
        </w:rPr>
        <w:sectPr>
          <w:headerReference r:id="rId52" w:type="default"/>
          <w:footerReference r:id="rId53" w:type="default"/>
          <w:type w:val="continuous"/>
          <w:pgSz w:w="11900" w:h="16820"/>
          <w:pgMar w:top="2640" w:right="2880" w:bottom="2880" w:left="2880" w:header="1320" w:footer="1440" w:gutter="0"/>
          <w:cols w:space="720" w:num="1"/>
        </w:sectPr>
      </w:pPr>
      <w:r>
        <w:rPr>
          <w:rFonts w:hint="eastAsia" w:ascii="Calibri" w:hAnsi="Calibri" w:eastAsia="Calibri"/>
          <w:color w:val="000000"/>
          <w:sz w:val="20"/>
        </w:rPr>
        <w:t>2017年10月20日</w:t>
      </w:r>
    </w:p>
    <w:p>
      <w:pPr>
        <w:spacing w:line="216" w:lineRule="auto"/>
        <w:jc w:val="center"/>
        <w:rPr>
          <w:sz w:val="36"/>
        </w:rPr>
      </w:pPr>
      <w:r>
        <w:rPr>
          <w:rFonts w:hint="eastAsia" w:ascii="宋体" w:hAnsi="宋体" w:eastAsia="宋体"/>
          <w:color w:val="000000"/>
          <w:sz w:val="36"/>
        </w:rPr>
        <w:t>河南省企业投资项目备案证明</w:t>
      </w:r>
    </w:p>
    <w:p>
      <w:pPr>
        <w:spacing w:line="216" w:lineRule="auto"/>
        <w:jc w:val="center"/>
        <w:rPr>
          <w:sz w:val="21"/>
        </w:rPr>
      </w:pPr>
      <w:r>
        <w:rPr>
          <w:rFonts w:hint="eastAsia" w:ascii="Calibri" w:hAnsi="Calibri" w:eastAsia="Calibri"/>
          <w:color w:val="000000"/>
          <w:sz w:val="21"/>
        </w:rPr>
        <w:t>项目代码：2017-410526-21-03-025121</w:t>
      </w:r>
    </w:p>
    <w:p>
      <w:pPr>
        <w:spacing w:line="216" w:lineRule="auto"/>
        <w:ind w:firstLine="0"/>
        <w:jc w:val="both"/>
        <w:rPr>
          <w:sz w:val="21"/>
        </w:rPr>
      </w:pPr>
      <w:r>
        <w:rPr>
          <w:rFonts w:hint="eastAsia" w:ascii="宋体" w:hAnsi="宋体" w:eastAsia="宋体"/>
          <w:color w:val="000000"/>
          <w:sz w:val="21"/>
        </w:rPr>
        <w:t>项目名称：年产200套免漆家具建设项目</w:t>
      </w:r>
    </w:p>
    <w:p>
      <w:pPr>
        <w:spacing w:line="216" w:lineRule="auto"/>
        <w:ind w:firstLine="0"/>
        <w:jc w:val="both"/>
        <w:rPr>
          <w:sz w:val="21"/>
        </w:rPr>
      </w:pPr>
    </w:p>
    <w:p>
      <w:pPr>
        <w:spacing w:line="216" w:lineRule="auto"/>
        <w:ind w:firstLine="0"/>
        <w:jc w:val="both"/>
        <w:rPr>
          <w:sz w:val="21"/>
        </w:rPr>
      </w:pPr>
      <w:r>
        <w:rPr>
          <w:rFonts w:hint="eastAsia" w:ascii="宋体" w:hAnsi="宋体" w:eastAsia="宋体"/>
          <w:color w:val="000000"/>
          <w:sz w:val="21"/>
        </w:rPr>
        <w:t>企业（法人）全称：滑县白道口博骏</w:t>
      </w:r>
      <w:r>
        <w:rPr>
          <w:rFonts w:hint="eastAsia" w:ascii="宋体" w:hAnsi="宋体" w:eastAsia="宋体"/>
          <w:color w:val="000000"/>
          <w:sz w:val="21"/>
          <w:lang w:eastAsia="zh-CN"/>
        </w:rPr>
        <w:t>家具</w:t>
      </w:r>
      <w:r>
        <w:rPr>
          <w:rFonts w:hint="eastAsia" w:ascii="宋体" w:hAnsi="宋体" w:eastAsia="宋体"/>
          <w:color w:val="000000"/>
          <w:sz w:val="21"/>
        </w:rPr>
        <w:t>厂</w:t>
      </w:r>
    </w:p>
    <w:p>
      <w:pPr>
        <w:spacing w:line="216" w:lineRule="auto"/>
        <w:ind w:firstLine="0"/>
        <w:jc w:val="both"/>
        <w:rPr>
          <w:sz w:val="21"/>
        </w:rPr>
      </w:pPr>
      <w:r>
        <w:rPr>
          <w:rFonts w:hint="eastAsia" w:ascii="Calibri" w:hAnsi="Calibri" w:eastAsia="Calibri"/>
          <w:color w:val="000000"/>
          <w:sz w:val="21"/>
        </w:rPr>
        <w:t>证照代码：92410526MA44G9QF8J</w:t>
      </w:r>
    </w:p>
    <w:p>
      <w:pPr>
        <w:spacing w:line="216" w:lineRule="auto"/>
        <w:ind w:firstLine="0"/>
        <w:jc w:val="both"/>
        <w:rPr>
          <w:sz w:val="21"/>
        </w:rPr>
      </w:pPr>
      <w:r>
        <w:rPr>
          <w:rFonts w:hint="eastAsia" w:ascii="宋体" w:hAnsi="宋体" w:eastAsia="宋体"/>
          <w:color w:val="000000"/>
          <w:sz w:val="21"/>
        </w:rPr>
        <w:t>企业经济类型：私营企业</w:t>
      </w:r>
    </w:p>
    <w:p>
      <w:pPr>
        <w:spacing w:line="216" w:lineRule="auto"/>
        <w:ind w:firstLine="0"/>
        <w:jc w:val="both"/>
        <w:rPr>
          <w:sz w:val="21"/>
        </w:rPr>
      </w:pPr>
      <w:r>
        <w:rPr>
          <w:rFonts w:hint="eastAsia" w:ascii="宋体" w:hAnsi="宋体" w:eastAsia="宋体"/>
          <w:color w:val="000000"/>
          <w:sz w:val="21"/>
        </w:rPr>
        <w:t>建设地点：滑县白道口镇白道村东头路南</w:t>
      </w:r>
    </w:p>
    <w:p>
      <w:pPr>
        <w:spacing w:line="216" w:lineRule="auto"/>
        <w:ind w:firstLine="0"/>
        <w:jc w:val="both"/>
        <w:rPr>
          <w:sz w:val="21"/>
        </w:rPr>
      </w:pPr>
    </w:p>
    <w:p>
      <w:pPr>
        <w:spacing w:line="216" w:lineRule="auto"/>
        <w:ind w:firstLine="0"/>
        <w:jc w:val="both"/>
        <w:rPr>
          <w:sz w:val="21"/>
        </w:rPr>
      </w:pPr>
      <w:r>
        <w:rPr>
          <w:rFonts w:hint="eastAsia" w:ascii="宋体" w:hAnsi="宋体" w:eastAsia="宋体"/>
          <w:color w:val="000000"/>
          <w:sz w:val="21"/>
        </w:rPr>
        <w:t>建设性质：新建</w:t>
      </w:r>
    </w:p>
    <w:p>
      <w:pPr>
        <w:spacing w:line="216" w:lineRule="auto"/>
        <w:ind w:firstLine="0"/>
        <w:jc w:val="both"/>
        <w:rPr>
          <w:sz w:val="21"/>
        </w:rPr>
      </w:pPr>
      <w:r>
        <w:rPr>
          <w:rFonts w:hint="eastAsia" w:ascii="宋体" w:hAnsi="宋体" w:eastAsia="宋体"/>
          <w:color w:val="000000"/>
          <w:sz w:val="21"/>
        </w:rPr>
        <w:t>建设规模及内容：该项目占地6.5亩，总建筑面积8975平方米，</w:t>
      </w:r>
    </w:p>
    <w:p>
      <w:pPr>
        <w:spacing w:line="216" w:lineRule="auto"/>
        <w:ind w:firstLine="0"/>
        <w:jc w:val="both"/>
        <w:rPr>
          <w:sz w:val="21"/>
        </w:rPr>
      </w:pPr>
      <w:r>
        <w:rPr>
          <w:rFonts w:hint="eastAsia" w:ascii="宋体" w:hAnsi="宋体" w:eastAsia="宋体"/>
          <w:color w:val="000000"/>
          <w:sz w:val="21"/>
        </w:rPr>
        <w:t>主要建设内容有厂房、仓库、办公用房等；工艺技术：外购免漆板-裁板-雕刻-排孔-扣板封边-组装-成品；主要设备：精密锯、开料、雕刻机等。</w:t>
      </w: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r>
        <w:rPr>
          <w:rFonts w:hint="eastAsia" w:ascii="宋体" w:hAnsi="宋体" w:eastAsia="宋体"/>
          <w:color w:val="000000"/>
          <w:sz w:val="21"/>
        </w:rPr>
        <w:t>项目总投资：20万元</w:t>
      </w:r>
    </w:p>
    <w:p>
      <w:pPr>
        <w:spacing w:line="216" w:lineRule="auto"/>
        <w:ind w:firstLine="0"/>
        <w:jc w:val="both"/>
        <w:rPr>
          <w:sz w:val="21"/>
        </w:rPr>
      </w:pPr>
      <w:r>
        <w:rPr>
          <w:rFonts w:hint="eastAsia" w:ascii="宋体" w:hAnsi="宋体" w:eastAsia="宋体"/>
          <w:color w:val="000000"/>
          <w:sz w:val="21"/>
        </w:rPr>
        <w:t>企业声明：该项目不属于《产业结构调整指导目录2011本》（2013年修订）中鼓励类、允许类、淘汰类，属于允许类且对项目信息的真实性、合法性和完整性负责。</w:t>
      </w:r>
    </w:p>
    <w:p>
      <w:pPr>
        <w:spacing w:line="216" w:lineRule="auto"/>
        <w:ind w:firstLine="0"/>
        <w:jc w:val="right"/>
        <w:rPr>
          <w:sz w:val="21"/>
        </w:rPr>
        <w:sectPr>
          <w:headerReference r:id="rId54" w:type="default"/>
          <w:type w:val="continuous"/>
          <w:pgSz w:w="11900" w:h="16820"/>
          <w:pgMar w:top="2400" w:right="2880" w:bottom="2880" w:left="2880" w:header="1200" w:footer="1440" w:gutter="0"/>
          <w:cols w:space="720" w:num="1"/>
        </w:sectPr>
      </w:pPr>
      <w:r>
        <w:rPr>
          <w:rFonts w:hint="eastAsia" w:ascii="Calibri" w:hAnsi="Calibri" w:eastAsia="Calibri"/>
          <w:color w:val="000000"/>
          <w:sz w:val="21"/>
        </w:rPr>
        <w:t>2017年10月19日</w:t>
      </w:r>
      <w:r>
        <w:drawing>
          <wp:anchor distT="0" distB="0" distL="114300" distR="114300" simplePos="0" relativeHeight="251659264" behindDoc="1" locked="0" layoutInCell="1" allowOverlap="1">
            <wp:simplePos x="0" y="0"/>
            <wp:positionH relativeFrom="page">
              <wp:posOffset>4610100</wp:posOffset>
            </wp:positionH>
            <wp:positionV relativeFrom="paragraph">
              <wp:posOffset>-647700</wp:posOffset>
            </wp:positionV>
            <wp:extent cx="1003300" cy="990600"/>
            <wp:effectExtent l="0" t="0" r="2540" b="4445"/>
            <wp:wrapNone/>
            <wp:docPr id="43"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AMP"/>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003300" cy="990600"/>
                    </a:xfrm>
                    <a:prstGeom prst="rect">
                      <a:avLst/>
                    </a:prstGeom>
                  </pic:spPr>
                </pic:pic>
              </a:graphicData>
            </a:graphic>
          </wp:anchor>
        </w:drawing>
      </w:r>
    </w:p>
    <w:p>
      <w:pPr>
        <w:spacing w:line="216" w:lineRule="auto"/>
        <w:jc w:val="center"/>
        <w:rPr>
          <w:sz w:val="22"/>
        </w:rPr>
      </w:pPr>
      <w:r>
        <w:rPr>
          <w:rFonts w:hint="eastAsia" w:ascii="宋体" w:hAnsi="宋体" w:eastAsia="宋体"/>
          <w:color w:val="000000"/>
          <w:sz w:val="22"/>
        </w:rPr>
        <w:t>租赁协议</w:t>
      </w:r>
    </w:p>
    <w:p>
      <w:pPr>
        <w:spacing w:line="336" w:lineRule="auto"/>
        <w:ind w:firstLine="0"/>
        <w:jc w:val="both"/>
        <w:rPr>
          <w:sz w:val="20"/>
        </w:rPr>
      </w:pPr>
    </w:p>
    <w:p>
      <w:pPr>
        <w:spacing w:line="336" w:lineRule="auto"/>
        <w:ind w:firstLine="400"/>
        <w:jc w:val="both"/>
        <w:rPr>
          <w:sz w:val="20"/>
        </w:rPr>
      </w:pPr>
      <w:r>
        <w:rPr>
          <w:rFonts w:hint="eastAsia" w:ascii="宋体" w:hAnsi="宋体" w:eastAsia="宋体"/>
          <w:color w:val="000000"/>
          <w:sz w:val="20"/>
        </w:rPr>
        <w:t>甲方（出租方）：滑县白道口镇东家供</w:t>
      </w:r>
    </w:p>
    <w:p>
      <w:pPr>
        <w:spacing w:line="336" w:lineRule="auto"/>
        <w:ind w:firstLine="400"/>
        <w:jc w:val="both"/>
        <w:rPr>
          <w:sz w:val="20"/>
        </w:rPr>
      </w:pPr>
      <w:r>
        <w:rPr>
          <w:rFonts w:hint="eastAsia" w:ascii="宋体" w:hAnsi="宋体" w:eastAsia="宋体"/>
          <w:color w:val="000000"/>
          <w:sz w:val="20"/>
        </w:rPr>
        <w:t>乙方（承租方）：滑县白道口博骏家具／</w:t>
      </w:r>
    </w:p>
    <w:p>
      <w:pPr>
        <w:spacing w:line="336" w:lineRule="auto"/>
        <w:ind w:firstLine="400"/>
        <w:jc w:val="both"/>
        <w:rPr>
          <w:sz w:val="20"/>
        </w:rPr>
      </w:pPr>
      <w:r>
        <w:rPr>
          <w:rFonts w:hint="eastAsia" w:ascii="宋体" w:hAnsi="宋体" w:eastAsia="宋体"/>
          <w:color w:val="000000"/>
          <w:sz w:val="20"/>
        </w:rPr>
        <w:t>根据国家有关规定，甲乙双方在自愿平等互利的基础上将甲力合法拥有的土地、厂房出租给乙方使用的相关事宜，双方达成协议并签订合同如下：</w:t>
      </w:r>
    </w:p>
    <w:p>
      <w:pPr>
        <w:spacing w:line="336" w:lineRule="auto"/>
        <w:ind w:firstLine="400"/>
        <w:jc w:val="both"/>
        <w:rPr>
          <w:sz w:val="20"/>
        </w:rPr>
      </w:pPr>
      <w:r>
        <w:rPr>
          <w:rFonts w:hint="eastAsia" w:ascii="宋体" w:hAnsi="宋体" w:eastAsia="宋体"/>
          <w:color w:val="000000"/>
          <w:sz w:val="20"/>
        </w:rPr>
        <w:t>一、出租情况</w:t>
      </w:r>
    </w:p>
    <w:p>
      <w:pPr>
        <w:spacing w:line="336" w:lineRule="auto"/>
        <w:ind w:firstLine="400"/>
        <w:jc w:val="both"/>
        <w:rPr>
          <w:sz w:val="20"/>
        </w:rPr>
      </w:pPr>
      <w:r>
        <w:rPr>
          <w:rFonts w:hint="eastAsia" w:ascii="宋体" w:hAnsi="宋体" w:eastAsia="宋体"/>
          <w:color w:val="000000"/>
          <w:sz w:val="20"/>
        </w:rPr>
        <w:t>甲方出租给乙方的厂房坐落滑县白道口镇白道口村东头路南，由于经营不善，该厂已倒闭。现厂区的设备、原辅材料已清理完毕，甲方将该地块土地、厂房出租给乙方使用，</w:t>
      </w:r>
    </w:p>
    <w:p>
      <w:pPr>
        <w:spacing w:line="336" w:lineRule="auto"/>
        <w:ind w:firstLine="400"/>
        <w:jc w:val="both"/>
        <w:rPr>
          <w:sz w:val="20"/>
        </w:rPr>
      </w:pPr>
      <w:r>
        <w:rPr>
          <w:rFonts w:hint="eastAsia" w:ascii="宋体" w:hAnsi="宋体" w:eastAsia="宋体"/>
          <w:color w:val="000000"/>
          <w:sz w:val="20"/>
        </w:rPr>
        <w:t>二、出租日期和出租期限</w:t>
      </w:r>
    </w:p>
    <w:p>
      <w:pPr>
        <w:spacing w:line="336" w:lineRule="auto"/>
        <w:ind w:firstLine="400"/>
        <w:jc w:val="both"/>
        <w:rPr>
          <w:sz w:val="20"/>
        </w:rPr>
      </w:pPr>
      <w:r>
        <w:rPr>
          <w:rFonts w:hint="eastAsia" w:ascii="Calibri" w:hAnsi="Calibri" w:eastAsia="Calibri"/>
          <w:color w:val="000000"/>
          <w:sz w:val="20"/>
        </w:rPr>
        <w:t>1、租赁自2017年10月25日起，至2027年10月24日，租赁期为10年。</w:t>
      </w:r>
    </w:p>
    <w:p>
      <w:pPr>
        <w:spacing w:line="336" w:lineRule="auto"/>
        <w:ind w:firstLine="400"/>
        <w:jc w:val="both"/>
        <w:rPr>
          <w:sz w:val="20"/>
        </w:rPr>
      </w:pPr>
      <w:r>
        <w:rPr>
          <w:rFonts w:hint="eastAsia" w:ascii="宋体" w:hAnsi="宋体" w:eastAsia="宋体"/>
          <w:color w:val="000000"/>
          <w:sz w:val="20"/>
        </w:rPr>
        <w:t>2、租赁期满，甲方有权收回土地、厂房，乙方应如期归还，乙方新建的房屋归甲方所有。乙方需继续承租的话应于租期到期前三个月，向甲方提出书面要求，经甲方同意后重新签订租赁协议。</w:t>
      </w:r>
    </w:p>
    <w:p>
      <w:pPr>
        <w:spacing w:line="336" w:lineRule="auto"/>
        <w:ind w:firstLine="400"/>
        <w:jc w:val="both"/>
        <w:rPr>
          <w:sz w:val="20"/>
        </w:rPr>
      </w:pPr>
      <w:r>
        <w:rPr>
          <w:rFonts w:hint="eastAsia" w:ascii="宋体" w:hAnsi="宋体" w:eastAsia="宋体"/>
          <w:color w:val="000000"/>
          <w:sz w:val="20"/>
        </w:rPr>
        <w:t>三、租金及保证金支付方式</w:t>
      </w:r>
    </w:p>
    <w:p>
      <w:pPr>
        <w:spacing w:line="336" w:lineRule="auto"/>
        <w:ind w:firstLine="400"/>
        <w:jc w:val="both"/>
        <w:rPr>
          <w:sz w:val="20"/>
        </w:rPr>
      </w:pPr>
      <w:r>
        <w:rPr>
          <w:rFonts w:hint="eastAsia" w:ascii="宋体" w:hAnsi="宋体" w:eastAsia="宋体"/>
          <w:color w:val="000000"/>
          <w:sz w:val="20"/>
        </w:rPr>
        <w:t>1、甲、乙双约定，该土地土地租金为15元／平方米，共计6.5亩，以上共计65000元。</w:t>
      </w:r>
    </w:p>
    <w:p>
      <w:pPr>
        <w:spacing w:line="336" w:lineRule="auto"/>
        <w:ind w:firstLine="400"/>
        <w:jc w:val="both"/>
        <w:rPr>
          <w:sz w:val="20"/>
        </w:rPr>
      </w:pPr>
      <w:r>
        <w:rPr>
          <w:rFonts w:hint="eastAsia" w:ascii="宋体" w:hAnsi="宋体" w:eastAsia="宋体"/>
          <w:color w:val="000000"/>
          <w:sz w:val="20"/>
        </w:rPr>
        <w:t>2、采用先租后付形式，甲、乙双方一旦签订合同，合同既生效。承租方应本合同签订后5日内支付的租金。</w:t>
      </w:r>
    </w:p>
    <w:p>
      <w:pPr>
        <w:spacing w:line="336" w:lineRule="auto"/>
        <w:ind w:firstLine="400"/>
        <w:jc w:val="both"/>
        <w:rPr>
          <w:sz w:val="20"/>
        </w:rPr>
      </w:pPr>
      <w:r>
        <w:rPr>
          <w:rFonts w:hint="eastAsia" w:ascii="宋体" w:hAnsi="宋体" w:eastAsia="宋体"/>
          <w:color w:val="000000"/>
          <w:sz w:val="20"/>
        </w:rPr>
        <w:t>四、其他条款</w:t>
      </w:r>
    </w:p>
    <w:p>
      <w:pPr>
        <w:spacing w:line="336" w:lineRule="auto"/>
        <w:ind w:firstLine="400"/>
        <w:jc w:val="both"/>
        <w:rPr>
          <w:sz w:val="20"/>
        </w:rPr>
        <w:sectPr>
          <w:headerReference r:id="rId55" w:type="default"/>
          <w:type w:val="continuous"/>
          <w:pgSz w:w="11900" w:h="16820"/>
          <w:pgMar w:top="2160" w:right="2880" w:bottom="2880" w:left="2880" w:header="1080" w:footer="1440" w:gutter="0"/>
          <w:cols w:space="720" w:num="1"/>
        </w:sectPr>
      </w:pPr>
      <w:r>
        <w:rPr>
          <w:rFonts w:hint="eastAsia" w:ascii="宋体" w:hAnsi="宋体" w:eastAsia="宋体"/>
          <w:color w:val="000000"/>
          <w:sz w:val="20"/>
        </w:rPr>
        <w:t>1、租赁期间内如遇政府拆迁，乙方应无条件配合。拆迁补偿或赔偿与乙方无关，日因拆迁导致乙方不能正常生产，甲方退还乙方不</w:t>
      </w:r>
    </w:p>
    <w:p>
      <w:pPr>
        <w:spacing w:line="336" w:lineRule="auto"/>
        <w:ind w:firstLine="0"/>
        <w:jc w:val="both"/>
        <w:rPr>
          <w:sz w:val="17"/>
        </w:rPr>
      </w:pPr>
      <w:r>
        <w:rPr>
          <w:rFonts w:hint="eastAsia" w:ascii="宋体" w:hAnsi="宋体" w:eastAsia="宋体"/>
          <w:color w:val="000000"/>
          <w:sz w:val="17"/>
        </w:rPr>
        <w:t>能正常生产的租金。</w:t>
      </w:r>
    </w:p>
    <w:p>
      <w:pPr>
        <w:spacing w:line="336" w:lineRule="auto"/>
        <w:ind w:firstLine="340"/>
        <w:jc w:val="both"/>
        <w:rPr>
          <w:sz w:val="17"/>
        </w:rPr>
      </w:pPr>
      <w:r>
        <w:rPr>
          <w:rFonts w:hint="eastAsia" w:ascii="宋体" w:hAnsi="宋体" w:eastAsia="宋体"/>
          <w:color w:val="000000"/>
          <w:sz w:val="17"/>
        </w:rPr>
        <w:t>2、租赁期间内如乙方需提前终止合同，乙方应提前三个月通知甲方并征的甲方同意，双方同意，如发生上述情况，乙方支付甲方1万元的赔偿，并在一个月内清理所租地块上的生产设备、产品等，</w:t>
      </w:r>
    </w:p>
    <w:p>
      <w:pPr>
        <w:spacing w:line="336" w:lineRule="auto"/>
        <w:ind w:firstLine="340"/>
        <w:jc w:val="both"/>
        <w:rPr>
          <w:sz w:val="17"/>
        </w:rPr>
      </w:pPr>
      <w:r>
        <w:rPr>
          <w:rFonts w:hint="eastAsia" w:ascii="宋体" w:hAnsi="宋体" w:eastAsia="宋体"/>
          <w:color w:val="000000"/>
          <w:sz w:val="17"/>
        </w:rPr>
        <w:t>五、本合同未尽事宜，甲乙双方必须依法共同协商解决，</w:t>
      </w:r>
    </w:p>
    <w:p>
      <w:pPr>
        <w:spacing w:line="336" w:lineRule="auto"/>
        <w:ind w:firstLine="340"/>
        <w:jc w:val="both"/>
        <w:rPr>
          <w:sz w:val="17"/>
        </w:rPr>
      </w:pPr>
      <w:r>
        <w:rPr>
          <w:rFonts w:hint="eastAsia" w:ascii="宋体" w:hAnsi="宋体" w:eastAsia="宋体"/>
          <w:color w:val="000000"/>
          <w:sz w:val="17"/>
        </w:rPr>
        <w:t>六、本合同一式四份，双方各执两份，合同经盖章签字后生效。</w:t>
      </w:r>
    </w:p>
    <w:p>
      <w:pPr>
        <w:spacing w:line="336" w:lineRule="auto"/>
        <w:ind w:firstLine="0"/>
        <w:jc w:val="both"/>
        <w:rPr>
          <w:sz w:val="17"/>
        </w:rPr>
      </w:pPr>
    </w:p>
    <w:p>
      <w:pPr>
        <w:spacing w:line="336" w:lineRule="auto"/>
        <w:ind w:firstLine="0"/>
        <w:jc w:val="both"/>
        <w:rPr>
          <w:sz w:val="17"/>
        </w:rPr>
      </w:pPr>
    </w:p>
    <w:p>
      <w:pPr>
        <w:spacing w:line="336" w:lineRule="auto"/>
        <w:ind w:firstLine="0"/>
        <w:jc w:val="both"/>
        <w:rPr>
          <w:sz w:val="17"/>
        </w:rPr>
      </w:pPr>
    </w:p>
    <w:p>
      <w:pPr>
        <w:spacing w:line="336" w:lineRule="auto"/>
        <w:ind w:firstLine="0"/>
        <w:jc w:val="both"/>
        <w:rPr>
          <w:sz w:val="17"/>
        </w:rPr>
      </w:pPr>
    </w:p>
    <w:p>
      <w:pPr>
        <w:spacing w:line="336" w:lineRule="auto"/>
        <w:ind w:firstLine="0"/>
        <w:jc w:val="both"/>
        <w:rPr>
          <w:sz w:val="17"/>
        </w:rPr>
      </w:pPr>
      <w:r>
        <w:rPr>
          <w:rFonts w:hint="eastAsia" w:ascii="宋体" w:hAnsi="宋体" w:eastAsia="宋体"/>
          <w:color w:val="000000"/>
          <w:sz w:val="17"/>
        </w:rPr>
        <w:t>出租方：                           承租方：</w:t>
      </w:r>
      <w:r>
        <w:drawing>
          <wp:anchor distT="0" distB="0" distL="114300" distR="114300" simplePos="0" relativeHeight="251659264" behindDoc="1" locked="0" layoutInCell="1" allowOverlap="1">
            <wp:simplePos x="0" y="0"/>
            <wp:positionH relativeFrom="page">
              <wp:posOffset>2463800</wp:posOffset>
            </wp:positionH>
            <wp:positionV relativeFrom="paragraph">
              <wp:posOffset>-190500</wp:posOffset>
            </wp:positionV>
            <wp:extent cx="876300" cy="660400"/>
            <wp:effectExtent l="0" t="0" r="2540" b="4445"/>
            <wp:wrapNone/>
            <wp:docPr id="44"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AMP"/>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876300" cy="660400"/>
                    </a:xfrm>
                    <a:prstGeom prst="rect">
                      <a:avLst/>
                    </a:prstGeom>
                  </pic:spPr>
                </pic:pic>
              </a:graphicData>
            </a:graphic>
          </wp:anchor>
        </w:drawing>
      </w:r>
    </w:p>
    <w:p>
      <w:pPr>
        <w:spacing w:line="336" w:lineRule="auto"/>
        <w:ind w:firstLine="0"/>
        <w:jc w:val="both"/>
        <w:rPr>
          <w:sz w:val="17"/>
        </w:rPr>
      </w:pPr>
    </w:p>
    <w:p>
      <w:pPr>
        <w:spacing w:line="336" w:lineRule="auto"/>
        <w:ind w:firstLine="0"/>
        <w:jc w:val="both"/>
        <w:rPr>
          <w:sz w:val="17"/>
        </w:rPr>
        <w:sectPr>
          <w:headerReference r:id="rId56" w:type="default"/>
          <w:footerReference r:id="rId57" w:type="default"/>
          <w:type w:val="continuous"/>
          <w:pgSz w:w="11900" w:h="16820"/>
          <w:pgMar w:top="2880" w:right="2880" w:bottom="2880" w:left="2880" w:header="1440" w:footer="1440" w:gutter="0"/>
          <w:cols w:space="720" w:num="1"/>
        </w:sectPr>
      </w:pPr>
      <w:r>
        <w:rPr>
          <w:rFonts w:hint="eastAsia" w:ascii="宋体" w:hAnsi="宋体" w:eastAsia="宋体"/>
          <w:color w:val="000000"/>
          <w:sz w:val="17"/>
        </w:rPr>
        <w:t>授权代表人：                      授权代表人：  三级花齐付倍</w:t>
      </w:r>
      <w:r>
        <w:drawing>
          <wp:anchor distT="0" distB="0" distL="114300" distR="114300" simplePos="0" relativeHeight="251659264" behindDoc="1" locked="0" layoutInCell="1" allowOverlap="1">
            <wp:simplePos x="0" y="0"/>
            <wp:positionH relativeFrom="page">
              <wp:posOffset>4660900</wp:posOffset>
            </wp:positionH>
            <wp:positionV relativeFrom="paragraph">
              <wp:posOffset>-889000</wp:posOffset>
            </wp:positionV>
            <wp:extent cx="927100" cy="889000"/>
            <wp:effectExtent l="0" t="0" r="2540" b="4445"/>
            <wp:wrapNone/>
            <wp:docPr id="45"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AMP"/>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927100" cy="889000"/>
                    </a:xfrm>
                    <a:prstGeom prst="rect">
                      <a:avLst/>
                    </a:prstGeom>
                  </pic:spPr>
                </pic:pic>
              </a:graphicData>
            </a:graphic>
          </wp:anchor>
        </w:drawing>
      </w:r>
    </w:p>
    <w:p>
      <w:pPr>
        <w:spacing w:line="216" w:lineRule="auto"/>
        <w:jc w:val="center"/>
        <w:rPr>
          <w:sz w:val="36"/>
        </w:rPr>
      </w:pPr>
      <w:r>
        <w:rPr>
          <w:rFonts w:hint="eastAsia" w:ascii="宋体" w:hAnsi="宋体" w:eastAsia="宋体"/>
          <w:color w:val="000000"/>
          <w:sz w:val="36"/>
        </w:rPr>
        <w:t>说 明</w:t>
      </w:r>
    </w:p>
    <w:p>
      <w:pPr>
        <w:spacing w:line="216" w:lineRule="auto"/>
        <w:ind w:firstLine="0"/>
        <w:jc w:val="both"/>
        <w:rPr>
          <w:sz w:val="21"/>
        </w:rPr>
      </w:pPr>
    </w:p>
    <w:p>
      <w:pPr>
        <w:spacing w:line="216" w:lineRule="auto"/>
        <w:ind w:firstLine="0"/>
        <w:jc w:val="both"/>
        <w:rPr>
          <w:sz w:val="21"/>
        </w:rPr>
      </w:pPr>
    </w:p>
    <w:p>
      <w:pPr>
        <w:spacing w:line="216" w:lineRule="auto"/>
        <w:ind w:firstLine="420"/>
        <w:jc w:val="both"/>
        <w:rPr>
          <w:sz w:val="21"/>
        </w:rPr>
      </w:pPr>
      <w:r>
        <w:rPr>
          <w:rFonts w:hint="eastAsia" w:ascii="宋体" w:hAnsi="宋体" w:eastAsia="宋体"/>
          <w:color w:val="000000"/>
          <w:sz w:val="21"/>
        </w:rPr>
        <w:t>滑县白道口博骏家具厂，位于滑县白道口镇白道口村东头路南，</w:t>
      </w:r>
    </w:p>
    <w:p>
      <w:pPr>
        <w:spacing w:line="216" w:lineRule="auto"/>
        <w:ind w:firstLine="420"/>
        <w:jc w:val="both"/>
        <w:rPr>
          <w:sz w:val="21"/>
        </w:rPr>
      </w:pPr>
      <w:r>
        <w:rPr>
          <w:rFonts w:hint="eastAsia" w:ascii="宋体" w:hAnsi="宋体" w:eastAsia="宋体"/>
          <w:color w:val="000000"/>
          <w:sz w:val="21"/>
        </w:rPr>
        <w:t>符合白道口镇土地利用总体规划。</w:t>
      </w:r>
    </w:p>
    <w:p>
      <w:pPr>
        <w:spacing w:line="216" w:lineRule="auto"/>
        <w:ind w:firstLine="400"/>
        <w:jc w:val="both"/>
        <w:rPr>
          <w:sz w:val="20"/>
        </w:rPr>
      </w:pPr>
      <w:r>
        <w:rPr>
          <w:rFonts w:hint="eastAsia" w:ascii="宋体" w:hAnsi="宋体" w:eastAsia="宋体"/>
          <w:color w:val="000000"/>
          <w:sz w:val="20"/>
        </w:rPr>
        <w:t>注：该说明仅限环评使用，不作为合法的用地手续。</w:t>
      </w: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ind w:firstLine="0"/>
        <w:jc w:val="both"/>
        <w:rPr>
          <w:sz w:val="21"/>
        </w:rPr>
      </w:pPr>
    </w:p>
    <w:p>
      <w:pPr>
        <w:spacing w:line="216" w:lineRule="auto"/>
        <w:jc w:val="center"/>
        <w:rPr>
          <w:sz w:val="21"/>
        </w:rPr>
      </w:pPr>
      <w:r>
        <w:rPr>
          <w:rFonts w:hint="eastAsia" w:ascii="宋体" w:hAnsi="宋体" w:eastAsia="宋体"/>
          <w:color w:val="000000"/>
          <w:sz w:val="21"/>
        </w:rPr>
        <w:t>滑县白道口镇人民政府村镇规划建设车地管理所</w:t>
      </w:r>
      <w:r>
        <w:drawing>
          <wp:anchor distT="0" distB="0" distL="114300" distR="114300" simplePos="0" relativeHeight="251659264" behindDoc="1" locked="0" layoutInCell="1" allowOverlap="1">
            <wp:simplePos x="0" y="0"/>
            <wp:positionH relativeFrom="page">
              <wp:posOffset>4165600</wp:posOffset>
            </wp:positionH>
            <wp:positionV relativeFrom="paragraph">
              <wp:posOffset>-215900</wp:posOffset>
            </wp:positionV>
            <wp:extent cx="1104900" cy="1054100"/>
            <wp:effectExtent l="0" t="0" r="2540" b="4445"/>
            <wp:wrapNone/>
            <wp:docPr id="46"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AMP"/>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104900" cy="1054100"/>
                    </a:xfrm>
                    <a:prstGeom prst="rect">
                      <a:avLst/>
                    </a:prstGeom>
                  </pic:spPr>
                </pic:pic>
              </a:graphicData>
            </a:graphic>
          </wp:anchor>
        </w:drawing>
      </w:r>
    </w:p>
    <w:p>
      <w:pPr>
        <w:spacing w:line="216" w:lineRule="auto"/>
        <w:jc w:val="center"/>
        <w:rPr>
          <w:sz w:val="21"/>
        </w:rPr>
        <w:sectPr>
          <w:headerReference r:id="rId58" w:type="default"/>
          <w:type w:val="continuous"/>
          <w:pgSz w:w="11900" w:h="16820"/>
          <w:pgMar w:top="2880" w:right="2880" w:bottom="2880" w:left="2880" w:header="1440" w:footer="1440" w:gutter="0"/>
          <w:cols w:space="720" w:num="1"/>
        </w:sectPr>
      </w:pPr>
      <w:r>
        <w:rPr>
          <w:rFonts w:hint="eastAsia" w:ascii="Calibri" w:hAnsi="Calibri" w:eastAsia="Calibri"/>
          <w:color w:val="000000"/>
          <w:sz w:val="21"/>
        </w:rPr>
        <w:t>2017年12月1日</w:t>
      </w:r>
    </w:p>
    <w:p>
      <w:r>
        <w:drawing>
          <wp:anchor distT="0" distB="0" distL="114300" distR="114300" simplePos="0" relativeHeight="251659264" behindDoc="0" locked="0" layoutInCell="1" allowOverlap="1">
            <wp:simplePos x="0" y="0"/>
            <wp:positionH relativeFrom="page">
              <wp:posOffset>2197100</wp:posOffset>
            </wp:positionH>
            <wp:positionV relativeFrom="page">
              <wp:posOffset>1473200</wp:posOffset>
            </wp:positionV>
            <wp:extent cx="3352800" cy="5448300"/>
            <wp:effectExtent l="0" t="0" r="2540" b="4445"/>
            <wp:wrapSquare wrapText="bothSides"/>
            <wp:docPr id="4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RMAL"/>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3352800" cy="544830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page">
              <wp:posOffset>4432300</wp:posOffset>
            </wp:positionH>
            <wp:positionV relativeFrom="page">
              <wp:posOffset>5854700</wp:posOffset>
            </wp:positionV>
            <wp:extent cx="571500" cy="584200"/>
            <wp:effectExtent l="0" t="0" r="2540" b="4445"/>
            <wp:wrapNone/>
            <wp:docPr id="48"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MP"/>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71500" cy="58420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page">
                  <wp:posOffset>4051300</wp:posOffset>
                </wp:positionH>
                <wp:positionV relativeFrom="page">
                  <wp:posOffset>6819900</wp:posOffset>
                </wp:positionV>
                <wp:extent cx="1562100" cy="190500"/>
                <wp:effectExtent l="0" t="0" r="635" b="14605"/>
                <wp:wrapSquare wrapText="bothSides"/>
                <wp:docPr id="4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16" w:lineRule="auto"/>
                              <w:ind w:firstLine="0"/>
                              <w:jc w:val="both"/>
                              <w:rPr>
                                <w:sz w:val="12"/>
                              </w:rPr>
                            </w:pPr>
                            <w:r>
                              <w:rPr>
                                <w:rFonts w:hint="eastAsia" w:ascii="宋体" w:hAnsi="宋体" w:eastAsia="宋体"/>
                                <w:color w:val="000000"/>
                                <w:sz w:val="12"/>
                              </w:rPr>
                              <w:t>中华人民共和国国家工商行政管理总局监制</w:t>
                            </w:r>
                          </w:p>
                        </w:txbxContent>
                      </wps:txbx>
                      <wps:bodyPr wrap="square" lIns="25400" tIns="0" rIns="25400" bIns="0">
                        <a:noAutofit/>
                      </wps:bodyPr>
                    </wps:wsp>
                  </a:graphicData>
                </a:graphic>
              </wp:anchor>
            </w:drawing>
          </mc:Choice>
          <mc:Fallback>
            <w:pict>
              <v:shape id="文本框 2" o:spid="_x0000_s1026" o:spt="202" type="#_x0000_t202" style="position:absolute;left:0pt;margin-left:319pt;margin-top:537pt;height:15pt;width:123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HOy9bYAAAA&#10;DQEAAA8AAAAAAAAAAQAgAAAAIgAAAGRycy9kb3ducmV2LnhtbFBLAQIUABQAAAAIAIdO4kAD+27C&#10;5AEAAK0DAAAOAAAAAAAAAAEAIAAAACcBAABkcnMvZTJvRG9jLnhtbFBLBQYAAAAABgAGAFkBAAB9&#10;BQAAAAA=&#10;">
                <v:fill on="f" focussize="0,0"/>
                <v:stroke on="f" weight="0.5pt"/>
                <v:imagedata o:title=""/>
                <o:lock v:ext="edit" aspectratio="f"/>
                <v:textbox inset="2pt,0mm,2pt,0mm">
                  <w:txbxContent>
                    <w:p>
                      <w:pPr>
                        <w:spacing w:line="216" w:lineRule="auto"/>
                        <w:ind w:firstLine="0"/>
                        <w:jc w:val="both"/>
                        <w:rPr>
                          <w:sz w:val="12"/>
                        </w:rPr>
                      </w:pPr>
                      <w:r>
                        <w:rPr>
                          <w:rFonts w:hint="eastAsia" w:ascii="宋体" w:hAnsi="宋体" w:eastAsia="宋体"/>
                          <w:color w:val="000000"/>
                          <w:sz w:val="12"/>
                        </w:rPr>
                        <w:t>中华人民共和国国家工商行政管理总局监制</w:t>
                      </w:r>
                    </w:p>
                  </w:txbxContent>
                </v:textbox>
                <w10:wrap type="square"/>
              </v:shape>
            </w:pict>
          </mc:Fallback>
        </mc:AlternateContent>
      </w:r>
    </w:p>
    <w:sectPr>
      <w:type w:val="continuous"/>
      <w:pgSz w:w="11900" w:h="16820"/>
      <w:pgMar w:top="0" w:right="0" w:bottom="0" w:left="0" w:header="0" w:footer="0" w:gutter="0"/>
      <w:cols w:space="4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33"/>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4"/>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32"/>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08" w:lineRule="auto"/>
      <w:jc w:val="center"/>
    </w:pPr>
    <w:r>
      <w:rPr>
        <w:rFonts w:hint="eastAsia" w:ascii="Calibri" w:hAnsi="Calibri" w:eastAsia="Calibri"/>
        <w:color w:val="000000"/>
        <w:sz w:val="25"/>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3"/>
      </w:rPr>
      <w:t>11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auto"/>
      <w:jc w:val="center"/>
    </w:pPr>
    <w:r>
      <w:rPr>
        <w:rFonts w:hint="eastAsia" w:ascii="Calibri" w:hAnsi="Calibri" w:eastAsia="Calibri"/>
        <w:color w:val="000000"/>
        <w:sz w:val="21"/>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56" w:lineRule="auto"/>
      <w:jc w:val="center"/>
    </w:pPr>
    <w:r>
      <w:rPr>
        <w:rFonts w:hint="eastAsia" w:ascii="Calibri" w:hAnsi="Calibri" w:eastAsia="Calibri"/>
        <w:color w:val="000000"/>
        <w:sz w:val="21"/>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auto"/>
      <w:jc w:val="center"/>
    </w:pPr>
    <w:r>
      <w:rPr>
        <w:rFonts w:hint="eastAsia" w:ascii="Calibri" w:hAnsi="Calibri" w:eastAsia="Calibri"/>
        <w:color w:val="000000"/>
        <w:sz w:val="21"/>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5"/>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21"/>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21"/>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6"/>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08" w:lineRule="auto"/>
      <w:jc w:val="center"/>
    </w:pPr>
    <w:r>
      <w:rPr>
        <w:rFonts w:hint="eastAsia" w:ascii="Calibri" w:hAnsi="Calibri" w:eastAsia="Calibri"/>
        <w:color w:val="000000"/>
        <w:sz w:val="24"/>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84" w:lineRule="auto"/>
      <w:jc w:val="center"/>
    </w:pPr>
    <w:r>
      <w:rPr>
        <w:rFonts w:hint="eastAsia" w:ascii="Calibri" w:hAnsi="Calibri" w:eastAsia="Calibri"/>
        <w:color w:val="000000"/>
        <w:sz w:val="25"/>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3"/>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3"/>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36" w:lineRule="auto"/>
      <w:jc w:val="center"/>
    </w:pPr>
    <w:r>
      <w:rPr>
        <w:rFonts w:hint="eastAsia" w:ascii="Calibri" w:hAnsi="Calibri" w:eastAsia="Calibri"/>
        <w:color w:val="000000"/>
        <w:sz w:val="23"/>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4"/>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5"/>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4"/>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5"/>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3"/>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5"/>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jc w:val="left"/>
    </w:pPr>
    <w:r>
      <w:rPr>
        <w:rFonts w:hint="eastAsia" w:ascii="Calibri" w:hAnsi="Calibri" w:eastAsia="Calibri"/>
        <w:color w:val="000000"/>
        <w:sz w:val="24"/>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20"/>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ind w:firstLine="0"/>
      <w:jc w:val="left"/>
    </w:pPr>
    <w:r>
      <w:rPr>
        <w:rFonts w:hint="eastAsia" w:ascii="宋体" w:hAnsi="宋体" w:eastAsia="宋体"/>
        <w:color w:val="000000"/>
        <w:sz w:val="14"/>
      </w:rPr>
      <w:t>附图1                项目地理位置示意图</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宋体" w:hAnsi="宋体" w:eastAsia="宋体"/>
        <w:color w:val="000000"/>
        <w:sz w:val="14"/>
      </w:rPr>
      <w:t>附图2      项目周边环境及卫生防护距离示意图</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center"/>
    </w:pPr>
    <w:r>
      <w:rPr>
        <w:rFonts w:hint="eastAsia" w:ascii="Calibri" w:hAnsi="Calibri" w:eastAsia="Calibri"/>
        <w:color w:val="000000"/>
        <w:sz w:val="24"/>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33"/>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jc w:val="left"/>
    </w:pPr>
    <w:r>
      <w:rPr>
        <w:rFonts w:hint="eastAsia" w:ascii="Calibri" w:hAnsi="Calibri" w:eastAsia="Calibri"/>
        <w:color w:val="000000"/>
        <w:sz w:val="22"/>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34"/>
      </w:rPr>
      <w:t>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31"/>
      </w:rPr>
      <w:t>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jc w:val="center"/>
    </w:pPr>
    <w:r>
      <w:rPr>
        <w:rFonts w:hint="eastAsia" w:ascii="Calibri" w:hAnsi="Calibri" w:eastAsia="Calibri"/>
        <w:color w:val="000000"/>
        <w:sz w:val="33"/>
      </w:rPr>
      <w:t>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ind w:firstLine="0"/>
      <w:jc w:val="right"/>
    </w:pPr>
    <w:r>
      <w:rPr>
        <w:rFonts w:hint="eastAsia" w:ascii="宋体" w:hAnsi="宋体" w:eastAsia="宋体"/>
        <w:color w:val="000000"/>
        <w:sz w:val="22"/>
      </w:rPr>
      <w:t>附件2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36" w:lineRule="auto"/>
      <w:jc w:val="center"/>
    </w:pPr>
    <w:r>
      <w:rPr>
        <w:rFonts w:hint="eastAsia" w:ascii="宋体" w:hAnsi="宋体" w:eastAsia="宋体"/>
        <w:color w:val="000000"/>
        <w:sz w:val="20"/>
      </w:rPr>
      <w:t>附件3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ind w:firstLine="420"/>
      <w:jc w:val="left"/>
    </w:pPr>
    <w:r>
      <w:rPr>
        <w:rFonts w:hint="eastAsia" w:ascii="宋体" w:hAnsi="宋体" w:eastAsia="宋体"/>
        <w:color w:val="000000"/>
        <w:sz w:val="21"/>
      </w:rPr>
      <w:t>附件4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jc w:val="left"/>
    </w:pPr>
    <w:r>
      <w:rPr>
        <w:rFonts w:hint="eastAsia" w:ascii="宋体" w:hAnsi="宋体" w:eastAsia="宋体"/>
        <w:color w:val="000000"/>
        <w:sz w:val="30"/>
      </w:rPr>
      <w:t>建设项目所在地自然环境社会环境简况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36" w:lineRule="auto"/>
      <w:ind w:firstLine="0"/>
      <w:jc w:val="left"/>
    </w:pPr>
    <w:r>
      <w:rPr>
        <w:rFonts w:hint="eastAsia" w:ascii="宋体" w:hAnsi="宋体" w:eastAsia="宋体"/>
        <w:color w:val="000000"/>
        <w:sz w:val="29"/>
      </w:rPr>
      <w:t>环境质量状况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ind w:firstLine="0"/>
      <w:jc w:val="left"/>
    </w:pPr>
    <w:r>
      <w:rPr>
        <w:rFonts w:hint="eastAsia" w:ascii="宋体" w:hAnsi="宋体" w:eastAsia="宋体"/>
        <w:color w:val="000000"/>
        <w:sz w:val="30"/>
      </w:rPr>
      <w:t>评价适用标准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ind w:firstLine="0"/>
      <w:jc w:val="left"/>
    </w:pPr>
    <w:r>
      <w:rPr>
        <w:rFonts w:hint="eastAsia" w:ascii="宋体" w:hAnsi="宋体" w:eastAsia="宋体"/>
        <w:color w:val="000000"/>
        <w:sz w:val="31"/>
      </w:rPr>
      <w:t>建设项目工程分析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ind w:firstLine="0"/>
      <w:jc w:val="left"/>
    </w:pPr>
    <w:r>
      <w:rPr>
        <w:rFonts w:hint="eastAsia" w:ascii="宋体" w:hAnsi="宋体" w:eastAsia="宋体"/>
        <w:color w:val="000000"/>
        <w:sz w:val="31"/>
      </w:rPr>
      <w:t>环境影响分析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6" w:lineRule="auto"/>
      <w:ind w:firstLine="0"/>
      <w:jc w:val="left"/>
    </w:pPr>
    <w:r>
      <w:rPr>
        <w:rFonts w:hint="eastAsia" w:ascii="宋体" w:hAnsi="宋体" w:eastAsia="宋体"/>
        <w:color w:val="000000"/>
        <w:sz w:val="30"/>
      </w:rPr>
      <w:t>结论与建议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5ZTk3NGEwYjU5NTRjMGMyYTY3YmRhYjE4MGNkNDYifQ=="/>
  </w:docVars>
  <w:rsids>
    <w:rsidRoot w:val="00BD0BC8"/>
    <w:rsid w:val="000D6051"/>
    <w:rsid w:val="009F0BE0"/>
    <w:rsid w:val="00BA6D97"/>
    <w:rsid w:val="00BD0BC8"/>
    <w:rsid w:val="14E54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image" Target="media/image34.png"/><Relationship Id="rId92" Type="http://schemas.openxmlformats.org/officeDocument/2006/relationships/image" Target="media/image33.jpeg"/><Relationship Id="rId91" Type="http://schemas.openxmlformats.org/officeDocument/2006/relationships/image" Target="media/image32.png"/><Relationship Id="rId90" Type="http://schemas.openxmlformats.org/officeDocument/2006/relationships/image" Target="media/image31.png"/><Relationship Id="rId9" Type="http://schemas.openxmlformats.org/officeDocument/2006/relationships/footer" Target="footer4.xml"/><Relationship Id="rId89" Type="http://schemas.openxmlformats.org/officeDocument/2006/relationships/image" Target="media/image30.png"/><Relationship Id="rId88" Type="http://schemas.openxmlformats.org/officeDocument/2006/relationships/image" Target="media/image29.png"/><Relationship Id="rId87" Type="http://schemas.openxmlformats.org/officeDocument/2006/relationships/image" Target="media/image28.png"/><Relationship Id="rId86" Type="http://schemas.openxmlformats.org/officeDocument/2006/relationships/image" Target="media/image27.jpeg"/><Relationship Id="rId85" Type="http://schemas.openxmlformats.org/officeDocument/2006/relationships/image" Target="media/image26.jpeg"/><Relationship Id="rId84" Type="http://schemas.openxmlformats.org/officeDocument/2006/relationships/image" Target="media/image25.jpeg"/><Relationship Id="rId83" Type="http://schemas.openxmlformats.org/officeDocument/2006/relationships/image" Target="media/image24.jpeg"/><Relationship Id="rId82" Type="http://schemas.openxmlformats.org/officeDocument/2006/relationships/image" Target="media/image23.jpeg"/><Relationship Id="rId81" Type="http://schemas.openxmlformats.org/officeDocument/2006/relationships/image" Target="media/image22.jpeg"/><Relationship Id="rId80" Type="http://schemas.openxmlformats.org/officeDocument/2006/relationships/image" Target="media/image21.jpeg"/><Relationship Id="rId8" Type="http://schemas.openxmlformats.org/officeDocument/2006/relationships/footer" Target="footer3.xml"/><Relationship Id="rId79" Type="http://schemas.openxmlformats.org/officeDocument/2006/relationships/image" Target="media/image20.jpeg"/><Relationship Id="rId78" Type="http://schemas.openxmlformats.org/officeDocument/2006/relationships/image" Target="media/image19.jpeg"/><Relationship Id="rId77" Type="http://schemas.openxmlformats.org/officeDocument/2006/relationships/image" Target="media/image18.jpeg"/><Relationship Id="rId76" Type="http://schemas.openxmlformats.org/officeDocument/2006/relationships/image" Target="media/image17.jpeg"/><Relationship Id="rId75" Type="http://schemas.openxmlformats.org/officeDocument/2006/relationships/image" Target="media/image16.jpeg"/><Relationship Id="rId74" Type="http://schemas.openxmlformats.org/officeDocument/2006/relationships/image" Target="media/image15.jpeg"/><Relationship Id="rId73" Type="http://schemas.openxmlformats.org/officeDocument/2006/relationships/image" Target="media/image14.jpeg"/><Relationship Id="rId72" Type="http://schemas.openxmlformats.org/officeDocument/2006/relationships/image" Target="media/image13.jpeg"/><Relationship Id="rId71" Type="http://schemas.openxmlformats.org/officeDocument/2006/relationships/image" Target="media/image12.jpeg"/><Relationship Id="rId70" Type="http://schemas.openxmlformats.org/officeDocument/2006/relationships/image" Target="media/image11.jpeg"/><Relationship Id="rId7" Type="http://schemas.openxmlformats.org/officeDocument/2006/relationships/header" Target="header3.xml"/><Relationship Id="rId69" Type="http://schemas.openxmlformats.org/officeDocument/2006/relationships/image" Target="media/image10.jpeg"/><Relationship Id="rId68" Type="http://schemas.openxmlformats.org/officeDocument/2006/relationships/image" Target="media/image9.jpeg"/><Relationship Id="rId67" Type="http://schemas.openxmlformats.org/officeDocument/2006/relationships/image" Target="media/image8.jpe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jpeg"/><Relationship Id="rId61" Type="http://schemas.openxmlformats.org/officeDocument/2006/relationships/image" Target="media/image2.jpeg"/><Relationship Id="rId60" Type="http://schemas.openxmlformats.org/officeDocument/2006/relationships/image" Target="media/image1.png"/><Relationship Id="rId6" Type="http://schemas.openxmlformats.org/officeDocument/2006/relationships/footer" Target="footer2.xml"/><Relationship Id="rId59" Type="http://schemas.openxmlformats.org/officeDocument/2006/relationships/theme" Target="theme/theme1.xml"/><Relationship Id="rId58" Type="http://schemas.openxmlformats.org/officeDocument/2006/relationships/header" Target="header16.xml"/><Relationship Id="rId57" Type="http://schemas.openxmlformats.org/officeDocument/2006/relationships/footer" Target="footer40.xml"/><Relationship Id="rId56" Type="http://schemas.openxmlformats.org/officeDocument/2006/relationships/header" Target="header15.xml"/><Relationship Id="rId55" Type="http://schemas.openxmlformats.org/officeDocument/2006/relationships/header" Target="header14.xml"/><Relationship Id="rId54" Type="http://schemas.openxmlformats.org/officeDocument/2006/relationships/header" Target="header13.xml"/><Relationship Id="rId53" Type="http://schemas.openxmlformats.org/officeDocument/2006/relationships/footer" Target="footer39.xml"/><Relationship Id="rId52" Type="http://schemas.openxmlformats.org/officeDocument/2006/relationships/header" Target="header12.xml"/><Relationship Id="rId51" Type="http://schemas.openxmlformats.org/officeDocument/2006/relationships/footer" Target="footer38.xml"/><Relationship Id="rId50" Type="http://schemas.openxmlformats.org/officeDocument/2006/relationships/header" Target="header11.xml"/><Relationship Id="rId5" Type="http://schemas.openxmlformats.org/officeDocument/2006/relationships/header" Target="header2.xml"/><Relationship Id="rId49" Type="http://schemas.openxmlformats.org/officeDocument/2006/relationships/footer" Target="footer37.xml"/><Relationship Id="rId48" Type="http://schemas.openxmlformats.org/officeDocument/2006/relationships/header" Target="header10.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footer" Target="footer34.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footer" Target="footer1.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header" Target="header8.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TotalTime>1</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2024-06-19T01:00:06Z</dcterms:created>
  <dc:creator>INTSIG</dc:creator>
  <dc:description>Intsig Word Converter</dc:description>
  <cp:lastModifiedBy>悦朝胜</cp:lastModifiedBy>
  <dcterms:modified xsi:type="dcterms:W3CDTF">2024-06-19T01:02:00Z</dcterms:modified>
  <dc:title>wordbuilder</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FC50FAB0C5DE4B4E88650DDF9D3A83CA_12</vt:lpwstr>
  </property>
</Properties>
</file>